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Final Analytical Presentation Script and Study Vocabulary</w:t>
      </w:r>
    </w:p>
    <w:p>
      <w:pPr>
        <w:jc w:val="center"/>
      </w:pPr>
      <w:r>
        <w:rPr>
          <w:i/>
        </w:rPr>
        <w:t>LY4086940 F2 Progress Report | Analytical Part | Pages 5 to 10</w:t>
      </w:r>
    </w:p>
    <w:p>
      <w:r>
        <w:rPr>
          <w:b/>
        </w:rPr>
        <w:t xml:space="preserve">Purpose. </w:t>
      </w:r>
      <w:r>
        <w:t>Final Zoom-meeting script with Korean speaking cues, followed by study vocabulary. The vocabulary examples are sentences used in the final script.</w:t>
      </w:r>
    </w:p>
    <w:p>
      <w:pPr>
        <w:pStyle w:val="Heading1"/>
      </w:pPr>
      <w:r>
        <w:t>Final Presentation Script</w:t>
      </w:r>
    </w:p>
    <w:p>
      <w:pPr>
        <w:ind w:left="216"/>
      </w:pPr>
      <w:r>
        <w:rPr>
          <w:i/>
          <w:color w:val="505050"/>
          <w:sz w:val="18"/>
        </w:rPr>
        <w:t>Practice note: use the report tables and chromatograms as visual support. Explain the main result of each page instead of reading every value.</w:t>
      </w:r>
    </w:p>
    <w:p>
      <w:pPr>
        <w:spacing w:before="80" w:after="20"/>
      </w:pPr>
      <w:r>
        <w:rPr>
          <w:b/>
          <w:color w:val="1F4E79"/>
          <w:sz w:val="20"/>
        </w:rPr>
        <w:t>Transition from PM</w:t>
      </w:r>
      <w:r>
        <w:rPr>
          <w:i/>
          <w:sz w:val="18"/>
        </w:rPr>
        <w:t xml:space="preserve">  PM 발표 후 Analytical R&amp;D 파트 시작</w:t>
      </w:r>
    </w:p>
    <w:p>
      <w:pPr>
        <w:spacing w:after="20"/>
        <w:ind w:left="259"/>
      </w:pPr>
      <w:r>
        <w:rPr>
          <w:sz w:val="21"/>
        </w:rPr>
        <w:t>Thank you. I will now present the Analytical R&amp;D progress, covering pages 5 through 10.</w:t>
      </w:r>
    </w:p>
    <w:p>
      <w:pPr>
        <w:spacing w:after="100"/>
        <w:ind w:left="259"/>
      </w:pPr>
      <w:r>
        <w:rPr>
          <w:i/>
          <w:color w:val="505050"/>
          <w:sz w:val="19"/>
        </w:rPr>
        <w:t>해석: 감사합니다. 이제 5페이지부터 10페이지까지의 Analytical R&amp;D 진행 현황을 발표드리겠습니다.</w:t>
      </w:r>
    </w:p>
    <w:p>
      <w:pPr>
        <w:pStyle w:val="Heading2"/>
      </w:pPr>
      <w:r>
        <w:t>Page 5  Analytical R&amp;D</w:t>
      </w:r>
    </w:p>
    <w:p>
      <w:pPr>
        <w:spacing w:before="80" w:after="20"/>
      </w:pPr>
      <w:r>
        <w:rPr>
          <w:b/>
          <w:color w:val="1F4E79"/>
          <w:sz w:val="20"/>
        </w:rPr>
        <w:t>Section opening</w:t>
      </w:r>
      <w:r>
        <w:rPr>
          <w:i/>
          <w:sz w:val="18"/>
        </w:rPr>
        <w:t xml:space="preserve">  분석 파트의 범위 소개</w:t>
      </w:r>
    </w:p>
    <w:p>
      <w:pPr>
        <w:spacing w:after="20"/>
        <w:ind w:left="259"/>
      </w:pPr>
      <w:r>
        <w:rPr>
          <w:sz w:val="21"/>
        </w:rPr>
        <w:t>This section summarizes our current analytical status, the starting material method implementation, and the remaining development activities.</w:t>
      </w:r>
    </w:p>
    <w:p>
      <w:pPr>
        <w:spacing w:after="100"/>
        <w:ind w:left="259"/>
      </w:pPr>
      <w:r>
        <w:rPr>
          <w:i/>
          <w:color w:val="505050"/>
          <w:sz w:val="19"/>
        </w:rPr>
        <w:t>해석: 이 섹션에서는 현재 분석 현황, 출발물질 시험법 구현 현황, 그리고 남아 있는 개발 과제를 요약합니다.</w:t>
      </w:r>
    </w:p>
    <w:p>
      <w:pPr>
        <w:pStyle w:val="Heading2"/>
      </w:pPr>
      <w:r>
        <w:t>Page 6  Current Status</w:t>
      </w:r>
    </w:p>
    <w:p>
      <w:pPr>
        <w:spacing w:before="80" w:after="20"/>
      </w:pPr>
      <w:r>
        <w:rPr>
          <w:b/>
          <w:color w:val="1F4E79"/>
          <w:sz w:val="20"/>
        </w:rPr>
        <w:t>Status table</w:t>
      </w:r>
      <w:r>
        <w:rPr>
          <w:i/>
          <w:sz w:val="18"/>
        </w:rPr>
        <w:t xml:space="preserve">  Current status 표 설명</w:t>
      </w:r>
    </w:p>
    <w:p>
      <w:pPr>
        <w:spacing w:after="20"/>
        <w:ind w:left="259"/>
      </w:pPr>
      <w:r>
        <w:rPr>
          <w:sz w:val="21"/>
        </w:rPr>
        <w:t>This table summarizes the status of analytical method implementation and development for the starting materials, intermediates, and IPC methods.</w:t>
      </w:r>
    </w:p>
    <w:p>
      <w:pPr>
        <w:spacing w:after="100"/>
        <w:ind w:left="259"/>
      </w:pPr>
      <w:r>
        <w:rPr>
          <w:i/>
          <w:color w:val="505050"/>
          <w:sz w:val="19"/>
        </w:rPr>
        <w:t>해석: 이 표는 출발물질, 중간체 및 IPC 시험법의 분석법 구현 및 개발 현황을 요약합니다.</w:t>
      </w:r>
    </w:p>
    <w:p>
      <w:pPr>
        <w:spacing w:before="80" w:after="20"/>
      </w:pPr>
      <w:r>
        <w:rPr>
          <w:b/>
          <w:color w:val="1F4E79"/>
          <w:sz w:val="20"/>
        </w:rPr>
        <w:t>Completed work</w:t>
      </w:r>
      <w:r>
        <w:rPr>
          <w:i/>
          <w:sz w:val="18"/>
        </w:rPr>
        <w:t xml:space="preserve">  현재 완료된 시험법 구현 설명</w:t>
      </w:r>
    </w:p>
    <w:p>
      <w:pPr>
        <w:spacing w:after="20"/>
        <w:ind w:left="259"/>
      </w:pPr>
      <w:r>
        <w:rPr>
          <w:sz w:val="21"/>
        </w:rPr>
        <w:t>UPLC-UV method implementation has been completed for the available starting materials, including F2SM1, F2CR2, F2SM3, F2SM4, F2SM7, F2SM8, F2SM9, F2SM10, and SM24.</w:t>
      </w:r>
    </w:p>
    <w:p>
      <w:pPr>
        <w:spacing w:after="100"/>
        <w:ind w:left="259"/>
      </w:pPr>
      <w:r>
        <w:rPr>
          <w:i/>
          <w:color w:val="505050"/>
          <w:sz w:val="19"/>
        </w:rPr>
        <w:t>해석: F2SM1, F2CR2, F2SM3, F2SM4, F2SM7, F2SM8, F2SM9, F2SM10 및 SM24를 포함한 사용 가능한 출발물질에 대한 UPLC-UV 시험법 구현을 완료했습니다.</w:t>
      </w:r>
    </w:p>
    <w:p>
      <w:pPr>
        <w:spacing w:before="80" w:after="20"/>
      </w:pPr>
      <w:r>
        <w:rPr>
          <w:b/>
          <w:color w:val="1F4E79"/>
          <w:sz w:val="20"/>
        </w:rPr>
        <w:t>Ongoing and planned work</w:t>
      </w:r>
      <w:r>
        <w:rPr>
          <w:i/>
          <w:sz w:val="18"/>
        </w:rPr>
        <w:t xml:space="preserve">  F2SM5, IPC, intermediate 시험법 현황 설명</w:t>
      </w:r>
    </w:p>
    <w:p>
      <w:pPr>
        <w:spacing w:after="20"/>
        <w:ind w:left="259"/>
      </w:pPr>
      <w:r>
        <w:rPr>
          <w:sz w:val="21"/>
        </w:rPr>
        <w:t>For F2SM5, in-house UPLC-CAD method development is ongoing because the material lacks a suitable UV chromophore. IPC and intermediate methods are planned for the subsequent stages of process development.</w:t>
      </w:r>
    </w:p>
    <w:p>
      <w:pPr>
        <w:spacing w:after="100"/>
        <w:ind w:left="259"/>
      </w:pPr>
      <w:r>
        <w:rPr>
          <w:i/>
          <w:color w:val="505050"/>
          <w:sz w:val="19"/>
        </w:rPr>
        <w:t>해석: F2SM5는 적절한 UV 발색단이 없어 자체 UPLC-CAD 시험법을 개발 중입니다. IPC 및 중간체 시험법은 후속 공정개발 단계에서 진행할 예정입니다.</w:t>
      </w:r>
    </w:p>
    <w:p>
      <w:pPr>
        <w:pStyle w:val="Heading2"/>
      </w:pPr>
      <w:r>
        <w:t>Page 7  Starting Material Analysis</w:t>
      </w:r>
    </w:p>
    <w:p>
      <w:pPr>
        <w:spacing w:before="80" w:after="20"/>
      </w:pPr>
      <w:r>
        <w:rPr>
          <w:b/>
          <w:color w:val="1F4E79"/>
          <w:sz w:val="20"/>
        </w:rPr>
        <w:t>Overall result</w:t>
      </w:r>
      <w:r>
        <w:rPr>
          <w:i/>
          <w:sz w:val="18"/>
        </w:rPr>
        <w:t xml:space="preserve">  출발물질 분석 전체 결과</w:t>
      </w:r>
    </w:p>
    <w:p>
      <w:pPr>
        <w:spacing w:after="20"/>
        <w:ind w:left="259"/>
      </w:pPr>
      <w:r>
        <w:rPr>
          <w:sz w:val="21"/>
        </w:rPr>
        <w:t>All available starting materials were analyzed using the provided UPLC methods, and the observed retention times were consistent with the reference values in the technical documentation.</w:t>
      </w:r>
    </w:p>
    <w:p>
      <w:pPr>
        <w:spacing w:after="100"/>
        <w:ind w:left="259"/>
      </w:pPr>
      <w:r>
        <w:rPr>
          <w:i/>
          <w:color w:val="505050"/>
          <w:sz w:val="19"/>
        </w:rPr>
        <w:t>해석: 사용 가능한 모든 출발물질을 고객사 제공 UPLC 시험법으로 분석했으며, 관찰된 RT는 기술문서의 기준값과 일치했습니다.</w:t>
      </w:r>
    </w:p>
    <w:p>
      <w:pPr>
        <w:spacing w:before="80" w:after="20"/>
      </w:pPr>
      <w:r>
        <w:rPr>
          <w:b/>
          <w:color w:val="1F4E79"/>
          <w:sz w:val="20"/>
        </w:rPr>
        <w:t>Improvement items</w:t>
      </w:r>
      <w:r>
        <w:rPr>
          <w:i/>
          <w:sz w:val="18"/>
        </w:rPr>
        <w:t xml:space="preserve">  F2SM1/F2CR2 분리도와 F2SM10 peak shape 개선 필요</w:t>
      </w:r>
    </w:p>
    <w:p>
      <w:pPr>
        <w:spacing w:after="20"/>
        <w:ind w:left="259"/>
      </w:pPr>
      <w:r>
        <w:rPr>
          <w:sz w:val="21"/>
        </w:rPr>
        <w:t>Further method optimization is required to improve the resolution between the F2SM1 and F2CR2 peaks and the peak shape of F2SM10.</w:t>
      </w:r>
    </w:p>
    <w:p>
      <w:pPr>
        <w:spacing w:after="100"/>
        <w:ind w:left="259"/>
      </w:pPr>
      <w:r>
        <w:rPr>
          <w:i/>
          <w:color w:val="505050"/>
          <w:sz w:val="19"/>
        </w:rPr>
        <w:t>해석: F2SM1과 F2CR2 피크 사이의 분리도 및 F2SM10의 피크 모양을 개선하기 위해 추가 시험법 최적화가 필요합니다.</w:t>
      </w:r>
    </w:p>
    <w:p>
      <w:pPr>
        <w:spacing w:before="80" w:after="20"/>
      </w:pPr>
      <w:r>
        <w:rPr>
          <w:b/>
          <w:color w:val="1F4E79"/>
          <w:sz w:val="20"/>
        </w:rPr>
        <w:t>F2SM4</w:t>
      </w:r>
      <w:r>
        <w:rPr>
          <w:i/>
          <w:sz w:val="18"/>
        </w:rPr>
        <w:t xml:space="preserve">  F2SM4가 Method 2로 별도 분석된 이유</w:t>
      </w:r>
    </w:p>
    <w:p>
      <w:pPr>
        <w:spacing w:after="20"/>
        <w:ind w:left="259"/>
      </w:pPr>
      <w:r>
        <w:rPr>
          <w:sz w:val="21"/>
        </w:rPr>
        <w:t>F2SM4 was analyzed separately using Analytical Method 2, as specified in the provided procedure.</w:t>
      </w:r>
    </w:p>
    <w:p>
      <w:pPr>
        <w:spacing w:after="100"/>
        <w:ind w:left="259"/>
      </w:pPr>
      <w:r>
        <w:rPr>
          <w:i/>
          <w:color w:val="505050"/>
          <w:sz w:val="19"/>
        </w:rPr>
        <w:t>해석: F2SM4는 제공된 절차서에 명시된 대로 Analytical Method 2를 사용하여 별도로 분석했습니다.</w:t>
      </w:r>
    </w:p>
    <w:p>
      <w:pPr>
        <w:spacing w:before="80" w:after="20"/>
      </w:pPr>
      <w:r>
        <w:rPr>
          <w:b/>
          <w:color w:val="1F4E79"/>
          <w:sz w:val="20"/>
        </w:rPr>
        <w:t>F2SM5</w:t>
      </w:r>
      <w:r>
        <w:rPr>
          <w:i/>
          <w:sz w:val="18"/>
        </w:rPr>
        <w:t xml:space="preserve">  F2SM5 CAD와 retention 개선 계획</w:t>
      </w:r>
    </w:p>
    <w:p>
      <w:pPr>
        <w:spacing w:after="20"/>
        <w:ind w:left="259"/>
      </w:pPr>
      <w:r>
        <w:rPr>
          <w:sz w:val="21"/>
        </w:rPr>
        <w:t>As F2SM5 lacks a suitable UV chromophore, it was analyzed using UPLC-CAD. Insufficient retention was observed, and method optimization is therefore in progress.</w:t>
      </w:r>
    </w:p>
    <w:p>
      <w:pPr>
        <w:spacing w:after="100"/>
        <w:ind w:left="259"/>
      </w:pPr>
      <w:r>
        <w:rPr>
          <w:i/>
          <w:color w:val="505050"/>
          <w:sz w:val="19"/>
        </w:rPr>
        <w:t>해석: F2SM5는 적절한 UV 발색단이 없어 UPLC-CAD로 분석했습니다. 보유가 충분하지 않아 시험법 최적화를 진행하고 있습니다.</w:t>
      </w:r>
    </w:p>
    <w:p>
      <w:pPr>
        <w:spacing w:before="80" w:after="20"/>
      </w:pPr>
      <w:r>
        <w:rPr>
          <w:b/>
          <w:color w:val="1F4E79"/>
          <w:sz w:val="20"/>
        </w:rPr>
        <w:t>Chiral method</w:t>
      </w:r>
      <w:r>
        <w:rPr>
          <w:i/>
          <w:sz w:val="18"/>
        </w:rPr>
        <w:t xml:space="preserve">  F2SM9/SM24 co-elution과 키랄 시험법 요청</w:t>
      </w:r>
    </w:p>
    <w:p>
      <w:pPr>
        <w:spacing w:after="20"/>
        <w:ind w:left="259"/>
      </w:pPr>
      <w:r>
        <w:rPr>
          <w:sz w:val="21"/>
        </w:rPr>
        <w:t>F2SM9 and SM24 are enantiomers and co-elute under the current UPLC method. A chiral analytical method will therefore be required to differentiate and control these materials. If available, we would appreciate it if Lilly could share a chiral method for F2SM9 and SM24.</w:t>
      </w:r>
    </w:p>
    <w:p>
      <w:pPr>
        <w:spacing w:after="100"/>
        <w:ind w:left="259"/>
      </w:pPr>
      <w:r>
        <w:rPr>
          <w:i/>
          <w:color w:val="505050"/>
          <w:sz w:val="19"/>
        </w:rPr>
        <w:t>해석: F2SM9과 SM24는 광학이성질체이며 현재 UPLC 시험법에서는 공용출됩니다. 따라서 두 물질을 구별하고 관리하기 위한 키랄 분석법이 필요합니다. 가능하다면 Lilly에서 F2SM9과 SM24의 키랄 분석법을 공유해 주시면 감사하겠습니다.</w:t>
      </w:r>
    </w:p>
    <w:p>
      <w:pPr>
        <w:spacing w:before="80" w:after="20"/>
      </w:pPr>
      <w:r>
        <w:rPr>
          <w:b/>
          <w:color w:val="1F4E79"/>
          <w:sz w:val="20"/>
        </w:rPr>
        <w:t>Diluent issue</w:t>
      </w:r>
      <w:r>
        <w:rPr>
          <w:i/>
          <w:sz w:val="18"/>
        </w:rPr>
        <w:t xml:space="preserve">  diluent 미명시 및 F2SM8/F2SM10 용해도 문제</w:t>
      </w:r>
    </w:p>
    <w:p>
      <w:pPr>
        <w:spacing w:after="20"/>
        <w:ind w:left="259"/>
      </w:pPr>
      <w:r>
        <w:rPr>
          <w:sz w:val="21"/>
        </w:rPr>
        <w:t>Because the diluent was not specified in the provided analytical method, acetonitrile was used for the initial analysis. However, F2SM8 and F2SM10 showed insufficient solubility in acetonitrile. Further study is required to identify a suitable diluent and optimize the sample preparation conditions.</w:t>
      </w:r>
    </w:p>
    <w:p>
      <w:pPr>
        <w:spacing w:after="100"/>
        <w:ind w:left="259"/>
      </w:pPr>
      <w:r>
        <w:rPr>
          <w:i/>
          <w:color w:val="505050"/>
          <w:sz w:val="19"/>
        </w:rPr>
        <w:t>해석: 고객사 제공 시험법에 diluent가 명시되지 않아 초기 분석에는 acetonitrile을 사용했습니다. 그러나 F2SM8과 F2SM10은 acetonitrile에서 용해도가 충분하지 않았습니다. 적절한 diluent를 선정하고 시료 전처리 조건을 최적화하기 위한 추가 검토가 필요합니다.</w:t>
      </w:r>
    </w:p>
    <w:p>
      <w:pPr>
        <w:pStyle w:val="Heading2"/>
      </w:pPr>
      <w:r>
        <w:t>Pages 8 to 9  Analytical Methods and UV Results</w:t>
      </w:r>
    </w:p>
    <w:p>
      <w:pPr>
        <w:spacing w:before="80" w:after="20"/>
      </w:pPr>
      <w:r>
        <w:rPr>
          <w:b/>
          <w:color w:val="1F4E79"/>
          <w:sz w:val="20"/>
        </w:rPr>
        <w:t>Method 1</w:t>
      </w:r>
      <w:r>
        <w:rPr>
          <w:i/>
          <w:sz w:val="18"/>
        </w:rPr>
        <w:t xml:space="preserve">  Method 1 적용 대상 및 조건</w:t>
      </w:r>
    </w:p>
    <w:p>
      <w:pPr>
        <w:spacing w:after="20"/>
        <w:ind w:left="259"/>
      </w:pPr>
      <w:r>
        <w:rPr>
          <w:sz w:val="21"/>
        </w:rPr>
        <w:t>Analytical Method 1 was applied to the UPLC-UV-detectable starting materials other than F2SM4. The method uses a Poroshell 120 EC-C18 column with a TFA water-acetonitrile gradient and UV detection at 214 nanometers.</w:t>
      </w:r>
    </w:p>
    <w:p>
      <w:pPr>
        <w:spacing w:after="100"/>
        <w:ind w:left="259"/>
      </w:pPr>
      <w:r>
        <w:rPr>
          <w:i/>
          <w:color w:val="505050"/>
          <w:sz w:val="19"/>
        </w:rPr>
        <w:t>해석: Analytical Method 1은 F2SM4를 제외한 UPLC-UV 검출 가능 출발물질에 적용했습니다. 이 방법은 Poroshell 120 EC-C18 컬럼, TFA 수용액-acetonitrile gradient 및 214 nm UV 검출을 사용합니다.</w:t>
      </w:r>
    </w:p>
    <w:p>
      <w:pPr>
        <w:spacing w:before="80" w:after="20"/>
      </w:pPr>
      <w:r>
        <w:rPr>
          <w:b/>
          <w:color w:val="1F4E79"/>
          <w:sz w:val="20"/>
        </w:rPr>
        <w:t>Method 2</w:t>
      </w:r>
      <w:r>
        <w:rPr>
          <w:i/>
          <w:sz w:val="18"/>
        </w:rPr>
        <w:t xml:space="preserve">  F2SM4 전용 Method 2 설명</w:t>
      </w:r>
    </w:p>
    <w:p>
      <w:pPr>
        <w:spacing w:after="20"/>
        <w:ind w:left="259"/>
      </w:pPr>
      <w:r>
        <w:rPr>
          <w:sz w:val="21"/>
        </w:rPr>
        <w:t>Analytical Method 2 was applied exclusively to F2SM4. It uses the same column, flow rate, and detector setting as Method 1, with a higher initial acetonitrile composition.</w:t>
      </w:r>
    </w:p>
    <w:p>
      <w:pPr>
        <w:spacing w:after="100"/>
        <w:ind w:left="259"/>
      </w:pPr>
      <w:r>
        <w:rPr>
          <w:i/>
          <w:color w:val="505050"/>
          <w:sz w:val="19"/>
        </w:rPr>
        <w:t>해석: Analytical Method 2는 F2SM4에만 적용했습니다. Method 1과 동일한 컬럼, 유속 및 검출기 설정을 사용하되, 초기 acetonitrile 조성이 더 높습니다.</w:t>
      </w:r>
    </w:p>
    <w:p>
      <w:pPr>
        <w:spacing w:before="80" w:after="20"/>
      </w:pPr>
      <w:r>
        <w:rPr>
          <w:b/>
          <w:color w:val="1F4E79"/>
          <w:sz w:val="20"/>
        </w:rPr>
        <w:t>UV results</w:t>
      </w:r>
      <w:r>
        <w:rPr>
          <w:i/>
          <w:sz w:val="18"/>
        </w:rPr>
        <w:t xml:space="preserve">  overlay chromatogram 및 RT 비교표 설명</w:t>
      </w:r>
    </w:p>
    <w:p>
      <w:pPr>
        <w:spacing w:after="20"/>
        <w:ind w:left="259"/>
      </w:pPr>
      <w:r>
        <w:rPr>
          <w:sz w:val="21"/>
        </w:rPr>
        <w:t>These overlaid UV chromatograms show the eight starting materials analyzed by Method 1. The chromatograms confirm that the materials were detected under the current conditions. This table compares the reference retention times with our observed retention times. Overall, the observed retention times are comparable to the reference values.</w:t>
      </w:r>
    </w:p>
    <w:p>
      <w:pPr>
        <w:spacing w:after="100"/>
        <w:ind w:left="259"/>
      </w:pPr>
      <w:r>
        <w:rPr>
          <w:i/>
          <w:color w:val="505050"/>
          <w:sz w:val="19"/>
        </w:rPr>
        <w:t>해석: 이 overlay UV chromatogram은 Method 1로 분석한 8개 출발물질을 보여줍니다. 현재 조건에서 물질들이 검출되었음을 확인했습니다. 이 표는 기준 RT와 실제 관찰 RT를 비교한 것이며, 전반적으로 관찰 RT는 기준값과 비교할 만한 수준입니다.</w:t>
      </w:r>
    </w:p>
    <w:p>
      <w:pPr>
        <w:spacing w:before="80" w:after="20"/>
      </w:pPr>
      <w:r>
        <w:rPr>
          <w:b/>
          <w:color w:val="1F4E79"/>
          <w:sz w:val="20"/>
        </w:rPr>
        <w:t>F2SM9 footnote</w:t>
      </w:r>
      <w:r>
        <w:rPr>
          <w:i/>
          <w:sz w:val="18"/>
        </w:rPr>
        <w:t xml:space="preserve">  F2SM9에 reference RT 두 개가 보고된 점</w:t>
      </w:r>
    </w:p>
    <w:p>
      <w:pPr>
        <w:spacing w:after="20"/>
        <w:ind w:left="259"/>
      </w:pPr>
      <w:r>
        <w:rPr>
          <w:sz w:val="21"/>
        </w:rPr>
        <w:t>Two reference retention times were reported for F2SM9 in the provided method. Our observed retention time of 7.572 minutes is consistent with the 7.5-minute reference value.</w:t>
      </w:r>
    </w:p>
    <w:p>
      <w:pPr>
        <w:spacing w:after="100"/>
        <w:ind w:left="259"/>
      </w:pPr>
      <w:r>
        <w:rPr>
          <w:i/>
          <w:color w:val="505050"/>
          <w:sz w:val="19"/>
        </w:rPr>
        <w:t>해석: 고객사 제공 시험법에는 F2SM9에 대해 두 개의 기준 RT가 보고되어 있습니다. 실제 관찰 RT 7.572분은 7.5분 기준값과 일치합니다.</w:t>
      </w:r>
    </w:p>
    <w:p>
      <w:pPr>
        <w:pStyle w:val="Heading2"/>
      </w:pPr>
      <w:r>
        <w:t>Page 10  F2SM4 and F2SM5 Results</w:t>
      </w:r>
    </w:p>
    <w:p>
      <w:pPr>
        <w:spacing w:before="80" w:after="20"/>
      </w:pPr>
      <w:r>
        <w:rPr>
          <w:b/>
          <w:color w:val="1F4E79"/>
          <w:sz w:val="20"/>
        </w:rPr>
        <w:t>F2SM4 result</w:t>
      </w:r>
      <w:r>
        <w:rPr>
          <w:i/>
          <w:sz w:val="18"/>
        </w:rPr>
        <w:t xml:space="preserve">  F2SM4 RT 결과</w:t>
      </w:r>
    </w:p>
    <w:p>
      <w:pPr>
        <w:spacing w:after="20"/>
        <w:ind w:left="259"/>
      </w:pPr>
      <w:r>
        <w:rPr>
          <w:sz w:val="21"/>
        </w:rPr>
        <w:t>For F2SM4, the observed retention time was 5.577 minutes, compared with the reference retention time of 6.0 minutes.</w:t>
      </w:r>
    </w:p>
    <w:p>
      <w:pPr>
        <w:spacing w:after="100"/>
        <w:ind w:left="259"/>
      </w:pPr>
      <w:r>
        <w:rPr>
          <w:i/>
          <w:color w:val="505050"/>
          <w:sz w:val="19"/>
        </w:rPr>
        <w:t>해석: F2SM4의 관찰 RT는 5.577분이었으며, 기준 RT 6.0분과 비교했습니다.</w:t>
      </w:r>
    </w:p>
    <w:p>
      <w:pPr>
        <w:spacing w:before="80" w:after="20"/>
      </w:pPr>
      <w:r>
        <w:rPr>
          <w:b/>
          <w:color w:val="1F4E79"/>
          <w:sz w:val="20"/>
        </w:rPr>
        <w:t>F2SM4 backup answer</w:t>
      </w:r>
      <w:r>
        <w:rPr>
          <w:i/>
          <w:sz w:val="18"/>
        </w:rPr>
        <w:t xml:space="preserve">  active ester 관련 질문 대응</w:t>
      </w:r>
    </w:p>
    <w:p>
      <w:pPr>
        <w:spacing w:after="20"/>
        <w:ind w:left="259"/>
      </w:pPr>
      <w:r>
        <w:rPr>
          <w:sz w:val="21"/>
        </w:rPr>
        <w:t>The original method caused the active ester to convert back to F2SM4 during analysis. Analytical Method 2 was implemented to avoid this analytical artifact.</w:t>
      </w:r>
    </w:p>
    <w:p>
      <w:pPr>
        <w:spacing w:after="100"/>
        <w:ind w:left="259"/>
      </w:pPr>
      <w:r>
        <w:rPr>
          <w:i/>
          <w:color w:val="505050"/>
          <w:sz w:val="19"/>
        </w:rPr>
        <w:t>해석: 기존 시험법은 분석 중 active ester가 F2SM4로 다시 전환되는 현상을 유발했습니다. 이러한 분석 인위물을 방지하기 위해 Analytical Method 2를 적용했습니다.</w:t>
      </w:r>
    </w:p>
    <w:p>
      <w:pPr>
        <w:spacing w:before="80" w:after="20"/>
      </w:pPr>
      <w:r>
        <w:rPr>
          <w:b/>
          <w:color w:val="1F4E79"/>
          <w:sz w:val="20"/>
        </w:rPr>
        <w:t>F2SM5 result</w:t>
      </w:r>
      <w:r>
        <w:rPr>
          <w:i/>
          <w:sz w:val="18"/>
        </w:rPr>
        <w:t xml:space="preserve">  CAD 검출 및 후속 조치</w:t>
      </w:r>
    </w:p>
    <w:p>
      <w:pPr>
        <w:spacing w:after="20"/>
        <w:ind w:left="259"/>
      </w:pPr>
      <w:r>
        <w:rPr>
          <w:sz w:val="21"/>
        </w:rPr>
        <w:t>The UPLC-CAD chromatogram confirms detection of F2SM5. We will continue method optimization to improve retention and establish a robust method.</w:t>
      </w:r>
    </w:p>
    <w:p>
      <w:pPr>
        <w:spacing w:after="100"/>
        <w:ind w:left="259"/>
      </w:pPr>
      <w:r>
        <w:rPr>
          <w:i/>
          <w:color w:val="505050"/>
          <w:sz w:val="19"/>
        </w:rPr>
        <w:t>해석: UPLC-CAD chromatogram에서 F2SM5의 검출을 확인했습니다. 보유를 개선하고 견고한 시험법을 확립하기 위해 최적화를 계속할 예정입니다.</w:t>
      </w:r>
    </w:p>
    <w:p>
      <w:pPr>
        <w:spacing w:before="80" w:after="20"/>
      </w:pPr>
      <w:r>
        <w:rPr>
          <w:b/>
          <w:color w:val="1F4E79"/>
          <w:sz w:val="20"/>
        </w:rPr>
        <w:t>Close</w:t>
      </w:r>
      <w:r>
        <w:rPr>
          <w:i/>
          <w:sz w:val="18"/>
        </w:rPr>
        <w:t xml:space="preserve">  분석 파트 마무리</w:t>
      </w:r>
    </w:p>
    <w:p>
      <w:pPr>
        <w:spacing w:after="20"/>
        <w:ind w:left="259"/>
      </w:pPr>
      <w:r>
        <w:rPr>
          <w:sz w:val="21"/>
        </w:rPr>
        <w:t>In summary, the initial starting material method implementation has been completed. The key remaining activities are optimization of resolution, peak shape, diluent and sample preparation conditions, the UPLC-CAD method for F2SM5, and a chiral method for F2SM9 and SM24. Thank you.</w:t>
      </w:r>
    </w:p>
    <w:p>
      <w:pPr>
        <w:spacing w:after="100"/>
        <w:ind w:left="259"/>
      </w:pPr>
      <w:r>
        <w:rPr>
          <w:i/>
          <w:color w:val="505050"/>
          <w:sz w:val="19"/>
        </w:rPr>
        <w:t>해석: 요약하면, 초기 출발물질 시험법 구현은 완료되었습니다. 남은 주요 과제는 분리도, 피크 모양, diluent 및 시료 전처리 조건 최적화, F2SM5 UPLC-CAD 시험법, 그리고 F2SM9과 SM24의 키랄 분석법 개발입니다. 감사합니다.</w:t>
      </w:r>
    </w:p>
    <w:p>
      <w:r>
        <w:br w:type="page"/>
      </w:r>
    </w:p>
    <w:p>
      <w:pPr>
        <w:ind w:left="216"/>
      </w:pPr>
      <w:r>
        <w:rPr>
          <w:i/>
          <w:color w:val="505050"/>
          <w:sz w:val="18"/>
        </w:rPr>
        <w:t>Study method: cover the English column, read the Korean cue, say the English word, and then practice the example sentence aloud.</w:t>
      </w:r>
    </w:p>
    <w:p>
      <w:pPr>
        <w:pStyle w:val="Heading1"/>
      </w:pPr>
      <w:r>
        <w:t>Study Vocabulary  Verbs</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570"/>
            <w:vAlign w:val="center"/>
            <w:shd w:fill="D9EAF7"/>
          </w:tcPr>
          <w:p>
            <w:pPr>
              <w:spacing w:after="0"/>
            </w:pPr>
            <w:r/>
            <w:r>
              <w:rPr>
                <w:rFonts w:ascii="Aptos" w:hAnsi="Aptos"/>
                <w:b/>
                <w:sz w:val="17"/>
              </w:rPr>
              <w:t>Korean cue</w:t>
            </w:r>
          </w:p>
        </w:tc>
        <w:tc>
          <w:tcPr>
            <w:tcW w:type="dxa" w:w="2570"/>
            <w:vAlign w:val="center"/>
            <w:shd w:fill="D9EAF7"/>
          </w:tcPr>
          <w:p>
            <w:pPr>
              <w:spacing w:after="0"/>
            </w:pPr>
            <w:r/>
            <w:r>
              <w:rPr>
                <w:rFonts w:ascii="Aptos" w:hAnsi="Aptos"/>
                <w:b/>
                <w:sz w:val="17"/>
              </w:rPr>
              <w:t>English</w:t>
            </w:r>
          </w:p>
        </w:tc>
        <w:tc>
          <w:tcPr>
            <w:tcW w:type="dxa" w:w="2570"/>
            <w:vAlign w:val="center"/>
            <w:shd w:fill="D9EAF7"/>
          </w:tcPr>
          <w:p>
            <w:pPr>
              <w:spacing w:after="0"/>
            </w:pPr>
            <w:r/>
            <w:r>
              <w:rPr>
                <w:rFonts w:ascii="Aptos" w:hAnsi="Aptos"/>
                <w:b/>
                <w:sz w:val="17"/>
              </w:rPr>
              <w:t>Part of speech</w:t>
            </w:r>
          </w:p>
        </w:tc>
        <w:tc>
          <w:tcPr>
            <w:tcW w:type="dxa" w:w="2570"/>
            <w:vAlign w:val="center"/>
            <w:shd w:fill="D9EAF7"/>
          </w:tcPr>
          <w:p>
            <w:pPr>
              <w:spacing w:after="0"/>
            </w:pPr>
            <w:r/>
            <w:r>
              <w:rPr>
                <w:rFonts w:ascii="Aptos" w:hAnsi="Aptos"/>
                <w:b/>
                <w:sz w:val="17"/>
              </w:rPr>
              <w:t>Example from script</w:t>
            </w:r>
          </w:p>
        </w:tc>
      </w:tr>
      <w:tr>
        <w:tc>
          <w:tcPr>
            <w:tcW w:type="dxa" w:w="2570"/>
            <w:vAlign w:val="center"/>
          </w:tcPr>
          <w:p>
            <w:pPr>
              <w:spacing w:after="0"/>
            </w:pPr>
            <w:r/>
            <w:r>
              <w:rPr>
                <w:rFonts w:ascii="Aptos" w:hAnsi="Aptos"/>
                <w:b w:val="0"/>
                <w:sz w:val="17"/>
              </w:rPr>
              <w:t>요약하다</w:t>
            </w:r>
          </w:p>
        </w:tc>
        <w:tc>
          <w:tcPr>
            <w:tcW w:type="dxa" w:w="2570"/>
            <w:vAlign w:val="center"/>
          </w:tcPr>
          <w:p>
            <w:pPr>
              <w:spacing w:after="0"/>
            </w:pPr>
            <w:r/>
            <w:r>
              <w:rPr>
                <w:rFonts w:ascii="Aptos" w:hAnsi="Aptos"/>
                <w:b w:val="0"/>
                <w:sz w:val="17"/>
              </w:rPr>
              <w:t>summarize</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This section summarizes our current analytical status, the starting material method implementation, and the remaining development activities.</w:t>
            </w:r>
          </w:p>
        </w:tc>
      </w:tr>
      <w:tr>
        <w:tc>
          <w:tcPr>
            <w:tcW w:type="dxa" w:w="2570"/>
            <w:vAlign w:val="center"/>
          </w:tcPr>
          <w:p>
            <w:pPr>
              <w:spacing w:after="0"/>
            </w:pPr>
            <w:r/>
            <w:r>
              <w:rPr>
                <w:rFonts w:ascii="Aptos" w:hAnsi="Aptos"/>
                <w:b w:val="0"/>
                <w:sz w:val="17"/>
              </w:rPr>
              <w:t>완료하다</w:t>
            </w:r>
          </w:p>
        </w:tc>
        <w:tc>
          <w:tcPr>
            <w:tcW w:type="dxa" w:w="2570"/>
            <w:vAlign w:val="center"/>
          </w:tcPr>
          <w:p>
            <w:pPr>
              <w:spacing w:after="0"/>
            </w:pPr>
            <w:r/>
            <w:r>
              <w:rPr>
                <w:rFonts w:ascii="Aptos" w:hAnsi="Aptos"/>
                <w:b w:val="0"/>
                <w:sz w:val="17"/>
              </w:rPr>
              <w:t>complete</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UPLC-UV method implementation has been completed for the available starting materials, including F2SM1, F2CR2, F2SM3, F2SM4, F2SM7, F2SM8, F2SM9, F2SM10, and SM24.</w:t>
            </w:r>
          </w:p>
        </w:tc>
      </w:tr>
      <w:tr>
        <w:tc>
          <w:tcPr>
            <w:tcW w:type="dxa" w:w="2570"/>
            <w:vAlign w:val="center"/>
          </w:tcPr>
          <w:p>
            <w:pPr>
              <w:spacing w:after="0"/>
            </w:pPr>
            <w:r/>
            <w:r>
              <w:rPr>
                <w:rFonts w:ascii="Aptos" w:hAnsi="Aptos"/>
                <w:b w:val="0"/>
                <w:sz w:val="17"/>
              </w:rPr>
              <w:t>부족하다</w:t>
            </w:r>
          </w:p>
        </w:tc>
        <w:tc>
          <w:tcPr>
            <w:tcW w:type="dxa" w:w="2570"/>
            <w:vAlign w:val="center"/>
          </w:tcPr>
          <w:p>
            <w:pPr>
              <w:spacing w:after="0"/>
            </w:pPr>
            <w:r/>
            <w:r>
              <w:rPr>
                <w:rFonts w:ascii="Aptos" w:hAnsi="Aptos"/>
                <w:b w:val="0"/>
                <w:sz w:val="17"/>
              </w:rPr>
              <w:t>lack</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For F2SM5, in-house UPLC-CAD method development is ongoing because the material lacks a suitable UV chromophore.</w:t>
            </w:r>
          </w:p>
        </w:tc>
      </w:tr>
      <w:tr>
        <w:tc>
          <w:tcPr>
            <w:tcW w:type="dxa" w:w="2570"/>
            <w:vAlign w:val="center"/>
          </w:tcPr>
          <w:p>
            <w:pPr>
              <w:spacing w:after="0"/>
            </w:pPr>
            <w:r/>
            <w:r>
              <w:rPr>
                <w:rFonts w:ascii="Aptos" w:hAnsi="Aptos"/>
                <w:b w:val="0"/>
                <w:sz w:val="17"/>
              </w:rPr>
              <w:t>계획하다</w:t>
            </w:r>
          </w:p>
        </w:tc>
        <w:tc>
          <w:tcPr>
            <w:tcW w:type="dxa" w:w="2570"/>
            <w:vAlign w:val="center"/>
          </w:tcPr>
          <w:p>
            <w:pPr>
              <w:spacing w:after="0"/>
            </w:pPr>
            <w:r/>
            <w:r>
              <w:rPr>
                <w:rFonts w:ascii="Aptos" w:hAnsi="Aptos"/>
                <w:b w:val="0"/>
                <w:sz w:val="17"/>
              </w:rPr>
              <w:t>plan</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IPC and intermediate methods are planned for the subsequent stages of process development.</w:t>
            </w:r>
          </w:p>
        </w:tc>
      </w:tr>
      <w:tr>
        <w:tc>
          <w:tcPr>
            <w:tcW w:type="dxa" w:w="2570"/>
            <w:vAlign w:val="center"/>
          </w:tcPr>
          <w:p>
            <w:pPr>
              <w:spacing w:after="0"/>
            </w:pPr>
            <w:r/>
            <w:r>
              <w:rPr>
                <w:rFonts w:ascii="Aptos" w:hAnsi="Aptos"/>
                <w:b w:val="0"/>
                <w:sz w:val="17"/>
              </w:rPr>
              <w:t>분석하다</w:t>
            </w:r>
          </w:p>
        </w:tc>
        <w:tc>
          <w:tcPr>
            <w:tcW w:type="dxa" w:w="2570"/>
            <w:vAlign w:val="center"/>
          </w:tcPr>
          <w:p>
            <w:pPr>
              <w:spacing w:after="0"/>
            </w:pPr>
            <w:r/>
            <w:r>
              <w:rPr>
                <w:rFonts w:ascii="Aptos" w:hAnsi="Aptos"/>
                <w:b w:val="0"/>
                <w:sz w:val="17"/>
              </w:rPr>
              <w:t>analyze</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All available starting materials were analyzed using the provided UPLC methods, and the observed retention times were consistent with the reference values in the technical documentation.</w:t>
            </w:r>
          </w:p>
        </w:tc>
      </w:tr>
      <w:tr>
        <w:tc>
          <w:tcPr>
            <w:tcW w:type="dxa" w:w="2570"/>
            <w:vAlign w:val="center"/>
          </w:tcPr>
          <w:p>
            <w:pPr>
              <w:spacing w:after="0"/>
            </w:pPr>
            <w:r/>
            <w:r>
              <w:rPr>
                <w:rFonts w:ascii="Aptos" w:hAnsi="Aptos"/>
                <w:b w:val="0"/>
                <w:sz w:val="17"/>
              </w:rPr>
              <w:t>일치하다</w:t>
            </w:r>
          </w:p>
        </w:tc>
        <w:tc>
          <w:tcPr>
            <w:tcW w:type="dxa" w:w="2570"/>
            <w:vAlign w:val="center"/>
          </w:tcPr>
          <w:p>
            <w:pPr>
              <w:spacing w:after="0"/>
            </w:pPr>
            <w:r/>
            <w:r>
              <w:rPr>
                <w:rFonts w:ascii="Aptos" w:hAnsi="Aptos"/>
                <w:b w:val="0"/>
                <w:sz w:val="17"/>
              </w:rPr>
              <w:t>be consistent with</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All available starting materials were analyzed using the provided UPLC methods, and the observed retention times were consistent with the reference values in the technical documentation.</w:t>
            </w:r>
          </w:p>
        </w:tc>
      </w:tr>
      <w:tr>
        <w:tc>
          <w:tcPr>
            <w:tcW w:type="dxa" w:w="2570"/>
            <w:vAlign w:val="center"/>
          </w:tcPr>
          <w:p>
            <w:pPr>
              <w:spacing w:after="0"/>
            </w:pPr>
            <w:r/>
            <w:r>
              <w:rPr>
                <w:rFonts w:ascii="Aptos" w:hAnsi="Aptos"/>
                <w:b w:val="0"/>
                <w:sz w:val="17"/>
              </w:rPr>
              <w:t>개선하다</w:t>
            </w:r>
          </w:p>
        </w:tc>
        <w:tc>
          <w:tcPr>
            <w:tcW w:type="dxa" w:w="2570"/>
            <w:vAlign w:val="center"/>
          </w:tcPr>
          <w:p>
            <w:pPr>
              <w:spacing w:after="0"/>
            </w:pPr>
            <w:r/>
            <w:r>
              <w:rPr>
                <w:rFonts w:ascii="Aptos" w:hAnsi="Aptos"/>
                <w:b w:val="0"/>
                <w:sz w:val="17"/>
              </w:rPr>
              <w:t>improve</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Further method optimization is required to improve the resolution between the F2SM1 and F2CR2 peaks and the peak shape of F2SM10.</w:t>
            </w:r>
          </w:p>
        </w:tc>
      </w:tr>
      <w:tr>
        <w:tc>
          <w:tcPr>
            <w:tcW w:type="dxa" w:w="2570"/>
            <w:vAlign w:val="center"/>
          </w:tcPr>
          <w:p>
            <w:pPr>
              <w:spacing w:after="0"/>
            </w:pPr>
            <w:r/>
            <w:r>
              <w:rPr>
                <w:rFonts w:ascii="Aptos" w:hAnsi="Aptos"/>
                <w:b w:val="0"/>
                <w:sz w:val="17"/>
              </w:rPr>
              <w:t>요구되다</w:t>
            </w:r>
          </w:p>
        </w:tc>
        <w:tc>
          <w:tcPr>
            <w:tcW w:type="dxa" w:w="2570"/>
            <w:vAlign w:val="center"/>
          </w:tcPr>
          <w:p>
            <w:pPr>
              <w:spacing w:after="0"/>
            </w:pPr>
            <w:r/>
            <w:r>
              <w:rPr>
                <w:rFonts w:ascii="Aptos" w:hAnsi="Aptos"/>
                <w:b w:val="0"/>
                <w:sz w:val="17"/>
              </w:rPr>
              <w:t>be required</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Further method optimization is required to improve the resolution between the F2SM1 and F2CR2 peaks and the peak shape of F2SM10.</w:t>
            </w:r>
          </w:p>
        </w:tc>
      </w:tr>
      <w:tr>
        <w:tc>
          <w:tcPr>
            <w:tcW w:type="dxa" w:w="2570"/>
            <w:vAlign w:val="center"/>
          </w:tcPr>
          <w:p>
            <w:pPr>
              <w:spacing w:after="0"/>
            </w:pPr>
            <w:r/>
            <w:r>
              <w:rPr>
                <w:rFonts w:ascii="Aptos" w:hAnsi="Aptos"/>
                <w:b w:val="0"/>
                <w:sz w:val="17"/>
              </w:rPr>
              <w:t>명시하다</w:t>
            </w:r>
          </w:p>
        </w:tc>
        <w:tc>
          <w:tcPr>
            <w:tcW w:type="dxa" w:w="2570"/>
            <w:vAlign w:val="center"/>
          </w:tcPr>
          <w:p>
            <w:pPr>
              <w:spacing w:after="0"/>
            </w:pPr>
            <w:r/>
            <w:r>
              <w:rPr>
                <w:rFonts w:ascii="Aptos" w:hAnsi="Aptos"/>
                <w:b w:val="0"/>
                <w:sz w:val="17"/>
              </w:rPr>
              <w:t>specify</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F2SM4 was analyzed separately using Analytical Method 2, as specified in the provided procedure.</w:t>
            </w:r>
          </w:p>
        </w:tc>
      </w:tr>
      <w:tr>
        <w:tc>
          <w:tcPr>
            <w:tcW w:type="dxa" w:w="2570"/>
            <w:vAlign w:val="center"/>
          </w:tcPr>
          <w:p>
            <w:pPr>
              <w:spacing w:after="0"/>
            </w:pPr>
            <w:r/>
            <w:r>
              <w:rPr>
                <w:rFonts w:ascii="Aptos" w:hAnsi="Aptos"/>
                <w:b w:val="0"/>
                <w:sz w:val="17"/>
              </w:rPr>
              <w:t>관찰되다</w:t>
            </w:r>
          </w:p>
        </w:tc>
        <w:tc>
          <w:tcPr>
            <w:tcW w:type="dxa" w:w="2570"/>
            <w:vAlign w:val="center"/>
          </w:tcPr>
          <w:p>
            <w:pPr>
              <w:spacing w:after="0"/>
            </w:pPr>
            <w:r/>
            <w:r>
              <w:rPr>
                <w:rFonts w:ascii="Aptos" w:hAnsi="Aptos"/>
                <w:b w:val="0"/>
                <w:sz w:val="17"/>
              </w:rPr>
              <w:t>be observed</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Insufficient retention was observed, and method optimization is therefore in progress.</w:t>
            </w:r>
          </w:p>
        </w:tc>
      </w:tr>
      <w:tr>
        <w:tc>
          <w:tcPr>
            <w:tcW w:type="dxa" w:w="2570"/>
            <w:vAlign w:val="center"/>
          </w:tcPr>
          <w:p>
            <w:pPr>
              <w:spacing w:after="0"/>
            </w:pPr>
            <w:r/>
            <w:r>
              <w:rPr>
                <w:rFonts w:ascii="Aptos" w:hAnsi="Aptos"/>
                <w:b w:val="0"/>
                <w:sz w:val="17"/>
              </w:rPr>
              <w:t>공용출되다</w:t>
            </w:r>
          </w:p>
        </w:tc>
        <w:tc>
          <w:tcPr>
            <w:tcW w:type="dxa" w:w="2570"/>
            <w:vAlign w:val="center"/>
          </w:tcPr>
          <w:p>
            <w:pPr>
              <w:spacing w:after="0"/>
            </w:pPr>
            <w:r/>
            <w:r>
              <w:rPr>
                <w:rFonts w:ascii="Aptos" w:hAnsi="Aptos"/>
                <w:b w:val="0"/>
                <w:sz w:val="17"/>
              </w:rPr>
              <w:t>co-elute</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F2SM9 and SM24 are enantiomers and co-elute under the current UPLC method.</w:t>
            </w:r>
          </w:p>
        </w:tc>
      </w:tr>
      <w:tr>
        <w:tc>
          <w:tcPr>
            <w:tcW w:type="dxa" w:w="2570"/>
            <w:vAlign w:val="center"/>
          </w:tcPr>
          <w:p>
            <w:pPr>
              <w:spacing w:after="0"/>
            </w:pPr>
            <w:r/>
            <w:r>
              <w:rPr>
                <w:rFonts w:ascii="Aptos" w:hAnsi="Aptos"/>
                <w:b w:val="0"/>
                <w:sz w:val="17"/>
              </w:rPr>
              <w:t>구별하다</w:t>
            </w:r>
          </w:p>
        </w:tc>
        <w:tc>
          <w:tcPr>
            <w:tcW w:type="dxa" w:w="2570"/>
            <w:vAlign w:val="center"/>
          </w:tcPr>
          <w:p>
            <w:pPr>
              <w:spacing w:after="0"/>
            </w:pPr>
            <w:r/>
            <w:r>
              <w:rPr>
                <w:rFonts w:ascii="Aptos" w:hAnsi="Aptos"/>
                <w:b w:val="0"/>
                <w:sz w:val="17"/>
              </w:rPr>
              <w:t>differentiate</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A chiral analytical method will therefore be required to differentiate and control these materials.</w:t>
            </w:r>
          </w:p>
        </w:tc>
      </w:tr>
      <w:tr>
        <w:tc>
          <w:tcPr>
            <w:tcW w:type="dxa" w:w="2570"/>
            <w:vAlign w:val="center"/>
          </w:tcPr>
          <w:p>
            <w:pPr>
              <w:spacing w:after="0"/>
            </w:pPr>
            <w:r/>
            <w:r>
              <w:rPr>
                <w:rFonts w:ascii="Aptos" w:hAnsi="Aptos"/>
                <w:b w:val="0"/>
                <w:sz w:val="17"/>
              </w:rPr>
              <w:t>관리하다</w:t>
            </w:r>
          </w:p>
        </w:tc>
        <w:tc>
          <w:tcPr>
            <w:tcW w:type="dxa" w:w="2570"/>
            <w:vAlign w:val="center"/>
          </w:tcPr>
          <w:p>
            <w:pPr>
              <w:spacing w:after="0"/>
            </w:pPr>
            <w:r/>
            <w:r>
              <w:rPr>
                <w:rFonts w:ascii="Aptos" w:hAnsi="Aptos"/>
                <w:b w:val="0"/>
                <w:sz w:val="17"/>
              </w:rPr>
              <w:t>control</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A chiral analytical method will therefore be required to differentiate and control these materials.</w:t>
            </w:r>
          </w:p>
        </w:tc>
      </w:tr>
      <w:tr>
        <w:tc>
          <w:tcPr>
            <w:tcW w:type="dxa" w:w="2570"/>
            <w:vAlign w:val="center"/>
          </w:tcPr>
          <w:p>
            <w:pPr>
              <w:spacing w:after="0"/>
            </w:pPr>
            <w:r/>
            <w:r>
              <w:rPr>
                <w:rFonts w:ascii="Aptos" w:hAnsi="Aptos"/>
                <w:b w:val="0"/>
                <w:sz w:val="17"/>
              </w:rPr>
              <w:t>공유하다</w:t>
            </w:r>
          </w:p>
        </w:tc>
        <w:tc>
          <w:tcPr>
            <w:tcW w:type="dxa" w:w="2570"/>
            <w:vAlign w:val="center"/>
          </w:tcPr>
          <w:p>
            <w:pPr>
              <w:spacing w:after="0"/>
            </w:pPr>
            <w:r/>
            <w:r>
              <w:rPr>
                <w:rFonts w:ascii="Aptos" w:hAnsi="Aptos"/>
                <w:b w:val="0"/>
                <w:sz w:val="17"/>
              </w:rPr>
              <w:t>share</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If available, we would appreciate it if Lilly could share a chiral method for F2SM9 and SM24.</w:t>
            </w:r>
          </w:p>
        </w:tc>
      </w:tr>
      <w:tr>
        <w:tc>
          <w:tcPr>
            <w:tcW w:type="dxa" w:w="2570"/>
            <w:vAlign w:val="center"/>
          </w:tcPr>
          <w:p>
            <w:pPr>
              <w:spacing w:after="0"/>
            </w:pPr>
            <w:r/>
            <w:r>
              <w:rPr>
                <w:rFonts w:ascii="Aptos" w:hAnsi="Aptos"/>
                <w:b w:val="0"/>
                <w:sz w:val="17"/>
              </w:rPr>
              <w:t>확인하다</w:t>
            </w:r>
          </w:p>
        </w:tc>
        <w:tc>
          <w:tcPr>
            <w:tcW w:type="dxa" w:w="2570"/>
            <w:vAlign w:val="center"/>
          </w:tcPr>
          <w:p>
            <w:pPr>
              <w:spacing w:after="0"/>
            </w:pPr>
            <w:r/>
            <w:r>
              <w:rPr>
                <w:rFonts w:ascii="Aptos" w:hAnsi="Aptos"/>
                <w:b w:val="0"/>
                <w:sz w:val="17"/>
              </w:rPr>
              <w:t>confirm</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The chromatograms confirm that the materials were detected under the current conditions.</w:t>
            </w:r>
          </w:p>
        </w:tc>
      </w:tr>
      <w:tr>
        <w:tc>
          <w:tcPr>
            <w:tcW w:type="dxa" w:w="2570"/>
            <w:vAlign w:val="center"/>
          </w:tcPr>
          <w:p>
            <w:pPr>
              <w:spacing w:after="0"/>
            </w:pPr>
            <w:r/>
            <w:r>
              <w:rPr>
                <w:rFonts w:ascii="Aptos" w:hAnsi="Aptos"/>
                <w:b w:val="0"/>
                <w:sz w:val="17"/>
              </w:rPr>
              <w:t>비교하다</w:t>
            </w:r>
          </w:p>
        </w:tc>
        <w:tc>
          <w:tcPr>
            <w:tcW w:type="dxa" w:w="2570"/>
            <w:vAlign w:val="center"/>
          </w:tcPr>
          <w:p>
            <w:pPr>
              <w:spacing w:after="0"/>
            </w:pPr>
            <w:r/>
            <w:r>
              <w:rPr>
                <w:rFonts w:ascii="Aptos" w:hAnsi="Aptos"/>
                <w:b w:val="0"/>
                <w:sz w:val="17"/>
              </w:rPr>
              <w:t>compare</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This table compares the reference retention times with our observed retention times.</w:t>
            </w:r>
          </w:p>
        </w:tc>
      </w:tr>
      <w:tr>
        <w:tc>
          <w:tcPr>
            <w:tcW w:type="dxa" w:w="2570"/>
            <w:vAlign w:val="center"/>
          </w:tcPr>
          <w:p>
            <w:pPr>
              <w:spacing w:after="0"/>
            </w:pPr>
            <w:r/>
            <w:r>
              <w:rPr>
                <w:rFonts w:ascii="Aptos" w:hAnsi="Aptos"/>
                <w:b w:val="0"/>
                <w:sz w:val="17"/>
              </w:rPr>
              <w:t>전환되다</w:t>
            </w:r>
          </w:p>
        </w:tc>
        <w:tc>
          <w:tcPr>
            <w:tcW w:type="dxa" w:w="2570"/>
            <w:vAlign w:val="center"/>
          </w:tcPr>
          <w:p>
            <w:pPr>
              <w:spacing w:after="0"/>
            </w:pPr>
            <w:r/>
            <w:r>
              <w:rPr>
                <w:rFonts w:ascii="Aptos" w:hAnsi="Aptos"/>
                <w:b w:val="0"/>
                <w:sz w:val="17"/>
              </w:rPr>
              <w:t>convert</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The original method caused the active ester to convert back to F2SM4 during analysis.</w:t>
            </w:r>
          </w:p>
        </w:tc>
      </w:tr>
      <w:tr>
        <w:tc>
          <w:tcPr>
            <w:tcW w:type="dxa" w:w="2570"/>
            <w:vAlign w:val="center"/>
          </w:tcPr>
          <w:p>
            <w:pPr>
              <w:spacing w:after="0"/>
            </w:pPr>
            <w:r/>
            <w:r>
              <w:rPr>
                <w:rFonts w:ascii="Aptos" w:hAnsi="Aptos"/>
                <w:b w:val="0"/>
                <w:sz w:val="17"/>
              </w:rPr>
              <w:t>도입하다</w:t>
            </w:r>
          </w:p>
        </w:tc>
        <w:tc>
          <w:tcPr>
            <w:tcW w:type="dxa" w:w="2570"/>
            <w:vAlign w:val="center"/>
          </w:tcPr>
          <w:p>
            <w:pPr>
              <w:spacing w:after="0"/>
            </w:pPr>
            <w:r/>
            <w:r>
              <w:rPr>
                <w:rFonts w:ascii="Aptos" w:hAnsi="Aptos"/>
                <w:b w:val="0"/>
                <w:sz w:val="17"/>
              </w:rPr>
              <w:t>implement</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Analytical Method 2 was implemented to avoid this analytical artifact.</w:t>
            </w:r>
          </w:p>
        </w:tc>
      </w:tr>
      <w:tr>
        <w:tc>
          <w:tcPr>
            <w:tcW w:type="dxa" w:w="2570"/>
            <w:vAlign w:val="center"/>
          </w:tcPr>
          <w:p>
            <w:pPr>
              <w:spacing w:after="0"/>
            </w:pPr>
            <w:r/>
            <w:r>
              <w:rPr>
                <w:rFonts w:ascii="Aptos" w:hAnsi="Aptos"/>
                <w:b w:val="0"/>
                <w:sz w:val="17"/>
              </w:rPr>
              <w:t>방지하다</w:t>
            </w:r>
          </w:p>
        </w:tc>
        <w:tc>
          <w:tcPr>
            <w:tcW w:type="dxa" w:w="2570"/>
            <w:vAlign w:val="center"/>
          </w:tcPr>
          <w:p>
            <w:pPr>
              <w:spacing w:after="0"/>
            </w:pPr>
            <w:r/>
            <w:r>
              <w:rPr>
                <w:rFonts w:ascii="Aptos" w:hAnsi="Aptos"/>
                <w:b w:val="0"/>
                <w:sz w:val="17"/>
              </w:rPr>
              <w:t>avoid</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Analytical Method 2 was implemented to avoid this analytical artifact.</w:t>
            </w:r>
          </w:p>
        </w:tc>
      </w:tr>
      <w:tr>
        <w:tc>
          <w:tcPr>
            <w:tcW w:type="dxa" w:w="2570"/>
            <w:vAlign w:val="center"/>
          </w:tcPr>
          <w:p>
            <w:pPr>
              <w:spacing w:after="0"/>
            </w:pPr>
            <w:r/>
            <w:r>
              <w:rPr>
                <w:rFonts w:ascii="Aptos" w:hAnsi="Aptos"/>
                <w:b w:val="0"/>
                <w:sz w:val="17"/>
              </w:rPr>
              <w:t>확립하다</w:t>
            </w:r>
          </w:p>
        </w:tc>
        <w:tc>
          <w:tcPr>
            <w:tcW w:type="dxa" w:w="2570"/>
            <w:vAlign w:val="center"/>
          </w:tcPr>
          <w:p>
            <w:pPr>
              <w:spacing w:after="0"/>
            </w:pPr>
            <w:r/>
            <w:r>
              <w:rPr>
                <w:rFonts w:ascii="Aptos" w:hAnsi="Aptos"/>
                <w:b w:val="0"/>
                <w:sz w:val="17"/>
              </w:rPr>
              <w:t>establish</w:t>
            </w:r>
          </w:p>
        </w:tc>
        <w:tc>
          <w:tcPr>
            <w:tcW w:type="dxa" w:w="2570"/>
            <w:vAlign w:val="center"/>
          </w:tcPr>
          <w:p>
            <w:pPr>
              <w:spacing w:after="0"/>
            </w:pPr>
            <w:r/>
            <w:r>
              <w:rPr>
                <w:rFonts w:ascii="Aptos" w:hAnsi="Aptos"/>
                <w:b w:val="0"/>
                <w:sz w:val="17"/>
              </w:rPr>
              <w:t>Verb</w:t>
            </w:r>
          </w:p>
        </w:tc>
        <w:tc>
          <w:tcPr>
            <w:tcW w:type="dxa" w:w="2570"/>
            <w:vAlign w:val="center"/>
          </w:tcPr>
          <w:p>
            <w:pPr>
              <w:spacing w:after="0"/>
            </w:pPr>
            <w:r/>
            <w:r>
              <w:rPr>
                <w:rFonts w:ascii="Aptos" w:hAnsi="Aptos"/>
                <w:b w:val="0"/>
                <w:sz w:val="15"/>
              </w:rPr>
              <w:t>We will continue method optimization to improve retention and establish a robust method.</w:t>
            </w:r>
          </w:p>
        </w:tc>
      </w:tr>
    </w:tbl>
    <w:p>
      <w:pPr>
        <w:pStyle w:val="Heading1"/>
      </w:pPr>
      <w:r>
        <w:t>Study Vocabulary  Nouns and Key Terms</w:t>
      </w:r>
    </w:p>
    <w:tbl>
      <w:tblPr>
        <w:tblStyle w:val="TableGrid"/>
        <w:tblW w:type="auto" w:w="0"/>
        <w:jc w:val="center"/>
        <w:tblLook w:firstColumn="1" w:firstRow="1" w:lastColumn="0" w:lastRow="0" w:noHBand="0" w:noVBand="1" w:val="04A0"/>
      </w:tblPr>
      <w:tblGrid>
        <w:gridCol w:w="2570"/>
        <w:gridCol w:w="2570"/>
        <w:gridCol w:w="2570"/>
        <w:gridCol w:w="2570"/>
      </w:tblGrid>
      <w:tr>
        <w:tc>
          <w:tcPr>
            <w:tcW w:type="dxa" w:w="2570"/>
            <w:vAlign w:val="center"/>
            <w:shd w:fill="D9EAF7"/>
          </w:tcPr>
          <w:p>
            <w:pPr>
              <w:spacing w:after="0"/>
            </w:pPr>
            <w:r/>
            <w:r>
              <w:rPr>
                <w:rFonts w:ascii="Aptos" w:hAnsi="Aptos"/>
                <w:b/>
                <w:sz w:val="17"/>
              </w:rPr>
              <w:t>Korean cue</w:t>
            </w:r>
          </w:p>
        </w:tc>
        <w:tc>
          <w:tcPr>
            <w:tcW w:type="dxa" w:w="2570"/>
            <w:vAlign w:val="center"/>
            <w:shd w:fill="D9EAF7"/>
          </w:tcPr>
          <w:p>
            <w:pPr>
              <w:spacing w:after="0"/>
            </w:pPr>
            <w:r/>
            <w:r>
              <w:rPr>
                <w:rFonts w:ascii="Aptos" w:hAnsi="Aptos"/>
                <w:b/>
                <w:sz w:val="17"/>
              </w:rPr>
              <w:t>English</w:t>
            </w:r>
          </w:p>
        </w:tc>
        <w:tc>
          <w:tcPr>
            <w:tcW w:type="dxa" w:w="2570"/>
            <w:vAlign w:val="center"/>
            <w:shd w:fill="D9EAF7"/>
          </w:tcPr>
          <w:p>
            <w:pPr>
              <w:spacing w:after="0"/>
            </w:pPr>
            <w:r/>
            <w:r>
              <w:rPr>
                <w:rFonts w:ascii="Aptos" w:hAnsi="Aptos"/>
                <w:b/>
                <w:sz w:val="17"/>
              </w:rPr>
              <w:t>Part of speech</w:t>
            </w:r>
          </w:p>
        </w:tc>
        <w:tc>
          <w:tcPr>
            <w:tcW w:type="dxa" w:w="2570"/>
            <w:vAlign w:val="center"/>
            <w:shd w:fill="D9EAF7"/>
          </w:tcPr>
          <w:p>
            <w:pPr>
              <w:spacing w:after="0"/>
            </w:pPr>
            <w:r/>
            <w:r>
              <w:rPr>
                <w:rFonts w:ascii="Aptos" w:hAnsi="Aptos"/>
                <w:b/>
                <w:sz w:val="17"/>
              </w:rPr>
              <w:t>Example from script</w:t>
            </w:r>
          </w:p>
        </w:tc>
      </w:tr>
      <w:tr>
        <w:tc>
          <w:tcPr>
            <w:tcW w:type="dxa" w:w="2570"/>
            <w:vAlign w:val="center"/>
          </w:tcPr>
          <w:p>
            <w:pPr>
              <w:spacing w:after="0"/>
            </w:pPr>
            <w:r/>
            <w:r>
              <w:rPr>
                <w:rFonts w:ascii="Aptos" w:hAnsi="Aptos"/>
                <w:b w:val="0"/>
                <w:sz w:val="17"/>
              </w:rPr>
              <w:t>분석 현황</w:t>
            </w:r>
          </w:p>
        </w:tc>
        <w:tc>
          <w:tcPr>
            <w:tcW w:type="dxa" w:w="2570"/>
            <w:vAlign w:val="center"/>
          </w:tcPr>
          <w:p>
            <w:pPr>
              <w:spacing w:after="0"/>
            </w:pPr>
            <w:r/>
            <w:r>
              <w:rPr>
                <w:rFonts w:ascii="Aptos" w:hAnsi="Aptos"/>
                <w:b w:val="0"/>
                <w:sz w:val="17"/>
              </w:rPr>
              <w:t>analytical status</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This section summarizes our current analytical status, the starting material method implementation, and the remaining development activities.</w:t>
            </w:r>
          </w:p>
        </w:tc>
      </w:tr>
      <w:tr>
        <w:tc>
          <w:tcPr>
            <w:tcW w:type="dxa" w:w="2570"/>
            <w:vAlign w:val="center"/>
          </w:tcPr>
          <w:p>
            <w:pPr>
              <w:spacing w:after="0"/>
            </w:pPr>
            <w:r/>
            <w:r>
              <w:rPr>
                <w:rFonts w:ascii="Aptos" w:hAnsi="Aptos"/>
                <w:b w:val="0"/>
                <w:sz w:val="17"/>
              </w:rPr>
              <w:t>시험법 구현</w:t>
            </w:r>
          </w:p>
        </w:tc>
        <w:tc>
          <w:tcPr>
            <w:tcW w:type="dxa" w:w="2570"/>
            <w:vAlign w:val="center"/>
          </w:tcPr>
          <w:p>
            <w:pPr>
              <w:spacing w:after="0"/>
            </w:pPr>
            <w:r/>
            <w:r>
              <w:rPr>
                <w:rFonts w:ascii="Aptos" w:hAnsi="Aptos"/>
                <w:b w:val="0"/>
                <w:sz w:val="17"/>
              </w:rPr>
              <w:t>method implementation</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UPLC-UV method implementation has been completed for the available starting materials, including F2SM1, F2CR2, F2SM3, F2SM4, F2SM7, F2SM8, F2SM9, F2SM10, and SM24.</w:t>
            </w:r>
          </w:p>
        </w:tc>
      </w:tr>
      <w:tr>
        <w:tc>
          <w:tcPr>
            <w:tcW w:type="dxa" w:w="2570"/>
            <w:vAlign w:val="center"/>
          </w:tcPr>
          <w:p>
            <w:pPr>
              <w:spacing w:after="0"/>
            </w:pPr>
            <w:r/>
            <w:r>
              <w:rPr>
                <w:rFonts w:ascii="Aptos" w:hAnsi="Aptos"/>
                <w:b w:val="0"/>
                <w:sz w:val="17"/>
              </w:rPr>
              <w:t>출발물질</w:t>
            </w:r>
          </w:p>
        </w:tc>
        <w:tc>
          <w:tcPr>
            <w:tcW w:type="dxa" w:w="2570"/>
            <w:vAlign w:val="center"/>
          </w:tcPr>
          <w:p>
            <w:pPr>
              <w:spacing w:after="0"/>
            </w:pPr>
            <w:r/>
            <w:r>
              <w:rPr>
                <w:rFonts w:ascii="Aptos" w:hAnsi="Aptos"/>
                <w:b w:val="0"/>
                <w:sz w:val="17"/>
              </w:rPr>
              <w:t>starting material</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All available starting materials were analyzed using the provided UPLC methods, and the observed retention times were consistent with the reference values in the technical documentation.</w:t>
            </w:r>
          </w:p>
        </w:tc>
      </w:tr>
      <w:tr>
        <w:tc>
          <w:tcPr>
            <w:tcW w:type="dxa" w:w="2570"/>
            <w:vAlign w:val="center"/>
          </w:tcPr>
          <w:p>
            <w:pPr>
              <w:spacing w:after="0"/>
            </w:pPr>
            <w:r/>
            <w:r>
              <w:rPr>
                <w:rFonts w:ascii="Aptos" w:hAnsi="Aptos"/>
                <w:b w:val="0"/>
                <w:sz w:val="17"/>
              </w:rPr>
              <w:t>중간체</w:t>
            </w:r>
          </w:p>
        </w:tc>
        <w:tc>
          <w:tcPr>
            <w:tcW w:type="dxa" w:w="2570"/>
            <w:vAlign w:val="center"/>
          </w:tcPr>
          <w:p>
            <w:pPr>
              <w:spacing w:after="0"/>
            </w:pPr>
            <w:r/>
            <w:r>
              <w:rPr>
                <w:rFonts w:ascii="Aptos" w:hAnsi="Aptos"/>
                <w:b w:val="0"/>
                <w:sz w:val="17"/>
              </w:rPr>
              <w:t>intermediate</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IPC and intermediate methods are planned for the subsequent stages of process development.</w:t>
            </w:r>
          </w:p>
        </w:tc>
      </w:tr>
      <w:tr>
        <w:tc>
          <w:tcPr>
            <w:tcW w:type="dxa" w:w="2570"/>
            <w:vAlign w:val="center"/>
          </w:tcPr>
          <w:p>
            <w:pPr>
              <w:spacing w:after="0"/>
            </w:pPr>
            <w:r/>
            <w:r>
              <w:rPr>
                <w:rFonts w:ascii="Aptos" w:hAnsi="Aptos"/>
                <w:b w:val="0"/>
                <w:sz w:val="17"/>
              </w:rPr>
              <w:t>IPC 시험법</w:t>
            </w:r>
          </w:p>
        </w:tc>
        <w:tc>
          <w:tcPr>
            <w:tcW w:type="dxa" w:w="2570"/>
            <w:vAlign w:val="center"/>
          </w:tcPr>
          <w:p>
            <w:pPr>
              <w:spacing w:after="0"/>
            </w:pPr>
            <w:r/>
            <w:r>
              <w:rPr>
                <w:rFonts w:ascii="Aptos" w:hAnsi="Aptos"/>
                <w:b w:val="0"/>
                <w:sz w:val="17"/>
              </w:rPr>
              <w:t>IPC method</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This table summarizes the status of analytical method implementation and development for the starting materials, intermediates, and IPC methods.</w:t>
            </w:r>
          </w:p>
        </w:tc>
      </w:tr>
      <w:tr>
        <w:tc>
          <w:tcPr>
            <w:tcW w:type="dxa" w:w="2570"/>
            <w:vAlign w:val="center"/>
          </w:tcPr>
          <w:p>
            <w:pPr>
              <w:spacing w:after="0"/>
            </w:pPr>
            <w:r/>
            <w:r>
              <w:rPr>
                <w:rFonts w:ascii="Aptos" w:hAnsi="Aptos"/>
                <w:b w:val="0"/>
                <w:sz w:val="17"/>
              </w:rPr>
              <w:t>발색단</w:t>
            </w:r>
          </w:p>
        </w:tc>
        <w:tc>
          <w:tcPr>
            <w:tcW w:type="dxa" w:w="2570"/>
            <w:vAlign w:val="center"/>
          </w:tcPr>
          <w:p>
            <w:pPr>
              <w:spacing w:after="0"/>
            </w:pPr>
            <w:r/>
            <w:r>
              <w:rPr>
                <w:rFonts w:ascii="Aptos" w:hAnsi="Aptos"/>
                <w:b w:val="0"/>
                <w:sz w:val="17"/>
              </w:rPr>
              <w:t>UV chromophore</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For F2SM5, in-house UPLC-CAD method development is ongoing because the material lacks a suitable UV chromophore.</w:t>
            </w:r>
          </w:p>
        </w:tc>
      </w:tr>
      <w:tr>
        <w:tc>
          <w:tcPr>
            <w:tcW w:type="dxa" w:w="2570"/>
            <w:vAlign w:val="center"/>
          </w:tcPr>
          <w:p>
            <w:pPr>
              <w:spacing w:after="0"/>
            </w:pPr>
            <w:r/>
            <w:r>
              <w:rPr>
                <w:rFonts w:ascii="Aptos" w:hAnsi="Aptos"/>
                <w:b w:val="0"/>
                <w:sz w:val="17"/>
              </w:rPr>
              <w:t>보유/머무름</w:t>
            </w:r>
          </w:p>
        </w:tc>
        <w:tc>
          <w:tcPr>
            <w:tcW w:type="dxa" w:w="2570"/>
            <w:vAlign w:val="center"/>
          </w:tcPr>
          <w:p>
            <w:pPr>
              <w:spacing w:after="0"/>
            </w:pPr>
            <w:r/>
            <w:r>
              <w:rPr>
                <w:rFonts w:ascii="Aptos" w:hAnsi="Aptos"/>
                <w:b w:val="0"/>
                <w:sz w:val="17"/>
              </w:rPr>
              <w:t>retention</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Insufficient retention was observed, and method optimization is therefore in progress.</w:t>
            </w:r>
          </w:p>
        </w:tc>
      </w:tr>
      <w:tr>
        <w:tc>
          <w:tcPr>
            <w:tcW w:type="dxa" w:w="2570"/>
            <w:vAlign w:val="center"/>
          </w:tcPr>
          <w:p>
            <w:pPr>
              <w:spacing w:after="0"/>
            </w:pPr>
            <w:r/>
            <w:r>
              <w:rPr>
                <w:rFonts w:ascii="Aptos" w:hAnsi="Aptos"/>
                <w:b w:val="0"/>
                <w:sz w:val="17"/>
              </w:rPr>
              <w:t>분리도</w:t>
            </w:r>
          </w:p>
        </w:tc>
        <w:tc>
          <w:tcPr>
            <w:tcW w:type="dxa" w:w="2570"/>
            <w:vAlign w:val="center"/>
          </w:tcPr>
          <w:p>
            <w:pPr>
              <w:spacing w:after="0"/>
            </w:pPr>
            <w:r/>
            <w:r>
              <w:rPr>
                <w:rFonts w:ascii="Aptos" w:hAnsi="Aptos"/>
                <w:b w:val="0"/>
                <w:sz w:val="17"/>
              </w:rPr>
              <w:t>resolution</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Further method optimization is required to improve the resolution between the F2SM1 and F2CR2 peaks and the peak shape of F2SM10.</w:t>
            </w:r>
          </w:p>
        </w:tc>
      </w:tr>
      <w:tr>
        <w:tc>
          <w:tcPr>
            <w:tcW w:type="dxa" w:w="2570"/>
            <w:vAlign w:val="center"/>
          </w:tcPr>
          <w:p>
            <w:pPr>
              <w:spacing w:after="0"/>
            </w:pPr>
            <w:r/>
            <w:r>
              <w:rPr>
                <w:rFonts w:ascii="Aptos" w:hAnsi="Aptos"/>
                <w:b w:val="0"/>
                <w:sz w:val="17"/>
              </w:rPr>
              <w:t>피크 모양</w:t>
            </w:r>
          </w:p>
        </w:tc>
        <w:tc>
          <w:tcPr>
            <w:tcW w:type="dxa" w:w="2570"/>
            <w:vAlign w:val="center"/>
          </w:tcPr>
          <w:p>
            <w:pPr>
              <w:spacing w:after="0"/>
            </w:pPr>
            <w:r/>
            <w:r>
              <w:rPr>
                <w:rFonts w:ascii="Aptos" w:hAnsi="Aptos"/>
                <w:b w:val="0"/>
                <w:sz w:val="17"/>
              </w:rPr>
              <w:t>peak shape</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Further method optimization is required to improve the resolution between the F2SM1 and F2CR2 peaks and the peak shape of F2SM10.</w:t>
            </w:r>
          </w:p>
        </w:tc>
      </w:tr>
      <w:tr>
        <w:tc>
          <w:tcPr>
            <w:tcW w:type="dxa" w:w="2570"/>
            <w:vAlign w:val="center"/>
          </w:tcPr>
          <w:p>
            <w:pPr>
              <w:spacing w:after="0"/>
            </w:pPr>
            <w:r/>
            <w:r>
              <w:rPr>
                <w:rFonts w:ascii="Aptos" w:hAnsi="Aptos"/>
                <w:b w:val="0"/>
                <w:sz w:val="17"/>
              </w:rPr>
              <w:t>기준 RT</w:t>
            </w:r>
          </w:p>
        </w:tc>
        <w:tc>
          <w:tcPr>
            <w:tcW w:type="dxa" w:w="2570"/>
            <w:vAlign w:val="center"/>
          </w:tcPr>
          <w:p>
            <w:pPr>
              <w:spacing w:after="0"/>
            </w:pPr>
            <w:r/>
            <w:r>
              <w:rPr>
                <w:rFonts w:ascii="Aptos" w:hAnsi="Aptos"/>
                <w:b w:val="0"/>
                <w:sz w:val="17"/>
              </w:rPr>
              <w:t>reference retention time</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This table compares the reference retention times with our observed retention times.</w:t>
            </w:r>
          </w:p>
        </w:tc>
      </w:tr>
      <w:tr>
        <w:tc>
          <w:tcPr>
            <w:tcW w:type="dxa" w:w="2570"/>
            <w:vAlign w:val="center"/>
          </w:tcPr>
          <w:p>
            <w:pPr>
              <w:spacing w:after="0"/>
            </w:pPr>
            <w:r/>
            <w:r>
              <w:rPr>
                <w:rFonts w:ascii="Aptos" w:hAnsi="Aptos"/>
                <w:b w:val="0"/>
                <w:sz w:val="17"/>
              </w:rPr>
              <w:t>관찰 RT</w:t>
            </w:r>
          </w:p>
        </w:tc>
        <w:tc>
          <w:tcPr>
            <w:tcW w:type="dxa" w:w="2570"/>
            <w:vAlign w:val="center"/>
          </w:tcPr>
          <w:p>
            <w:pPr>
              <w:spacing w:after="0"/>
            </w:pPr>
            <w:r/>
            <w:r>
              <w:rPr>
                <w:rFonts w:ascii="Aptos" w:hAnsi="Aptos"/>
                <w:b w:val="0"/>
                <w:sz w:val="17"/>
              </w:rPr>
              <w:t>observed retention time</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This table compares the reference retention times with our observed retention times.</w:t>
            </w:r>
          </w:p>
        </w:tc>
      </w:tr>
      <w:tr>
        <w:tc>
          <w:tcPr>
            <w:tcW w:type="dxa" w:w="2570"/>
            <w:vAlign w:val="center"/>
          </w:tcPr>
          <w:p>
            <w:pPr>
              <w:spacing w:after="0"/>
            </w:pPr>
            <w:r/>
            <w:r>
              <w:rPr>
                <w:rFonts w:ascii="Aptos" w:hAnsi="Aptos"/>
                <w:b w:val="0"/>
                <w:sz w:val="17"/>
              </w:rPr>
              <w:t>광학이성질체</w:t>
            </w:r>
          </w:p>
        </w:tc>
        <w:tc>
          <w:tcPr>
            <w:tcW w:type="dxa" w:w="2570"/>
            <w:vAlign w:val="center"/>
          </w:tcPr>
          <w:p>
            <w:pPr>
              <w:spacing w:after="0"/>
            </w:pPr>
            <w:r/>
            <w:r>
              <w:rPr>
                <w:rFonts w:ascii="Aptos" w:hAnsi="Aptos"/>
                <w:b w:val="0"/>
                <w:sz w:val="17"/>
              </w:rPr>
              <w:t>enantiomer</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F2SM9 and SM24 are enantiomers and co-elute under the current UPLC method.</w:t>
            </w:r>
          </w:p>
        </w:tc>
      </w:tr>
      <w:tr>
        <w:tc>
          <w:tcPr>
            <w:tcW w:type="dxa" w:w="2570"/>
            <w:vAlign w:val="center"/>
          </w:tcPr>
          <w:p>
            <w:pPr>
              <w:spacing w:after="0"/>
            </w:pPr>
            <w:r/>
            <w:r>
              <w:rPr>
                <w:rFonts w:ascii="Aptos" w:hAnsi="Aptos"/>
                <w:b w:val="0"/>
                <w:sz w:val="17"/>
              </w:rPr>
              <w:t>키랄 분석법</w:t>
            </w:r>
          </w:p>
        </w:tc>
        <w:tc>
          <w:tcPr>
            <w:tcW w:type="dxa" w:w="2570"/>
            <w:vAlign w:val="center"/>
          </w:tcPr>
          <w:p>
            <w:pPr>
              <w:spacing w:after="0"/>
            </w:pPr>
            <w:r/>
            <w:r>
              <w:rPr>
                <w:rFonts w:ascii="Aptos" w:hAnsi="Aptos"/>
                <w:b w:val="0"/>
                <w:sz w:val="17"/>
              </w:rPr>
              <w:t>chiral analytical method</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A chiral analytical method will therefore be required to differentiate and control these materials.</w:t>
            </w:r>
          </w:p>
        </w:tc>
      </w:tr>
      <w:tr>
        <w:tc>
          <w:tcPr>
            <w:tcW w:type="dxa" w:w="2570"/>
            <w:vAlign w:val="center"/>
          </w:tcPr>
          <w:p>
            <w:pPr>
              <w:spacing w:after="0"/>
            </w:pPr>
            <w:r/>
            <w:r>
              <w:rPr>
                <w:rFonts w:ascii="Aptos" w:hAnsi="Aptos"/>
                <w:b w:val="0"/>
                <w:sz w:val="17"/>
              </w:rPr>
              <w:t>희석용매</w:t>
            </w:r>
          </w:p>
        </w:tc>
        <w:tc>
          <w:tcPr>
            <w:tcW w:type="dxa" w:w="2570"/>
            <w:vAlign w:val="center"/>
          </w:tcPr>
          <w:p>
            <w:pPr>
              <w:spacing w:after="0"/>
            </w:pPr>
            <w:r/>
            <w:r>
              <w:rPr>
                <w:rFonts w:ascii="Aptos" w:hAnsi="Aptos"/>
                <w:b w:val="0"/>
                <w:sz w:val="17"/>
              </w:rPr>
              <w:t>diluent</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Further study is required to identify a suitable diluent and optimize the sample preparation conditions.</w:t>
            </w:r>
          </w:p>
        </w:tc>
      </w:tr>
      <w:tr>
        <w:tc>
          <w:tcPr>
            <w:tcW w:type="dxa" w:w="2570"/>
            <w:vAlign w:val="center"/>
          </w:tcPr>
          <w:p>
            <w:pPr>
              <w:spacing w:after="0"/>
            </w:pPr>
            <w:r/>
            <w:r>
              <w:rPr>
                <w:rFonts w:ascii="Aptos" w:hAnsi="Aptos"/>
                <w:b w:val="0"/>
                <w:sz w:val="17"/>
              </w:rPr>
              <w:t>용해도</w:t>
            </w:r>
          </w:p>
        </w:tc>
        <w:tc>
          <w:tcPr>
            <w:tcW w:type="dxa" w:w="2570"/>
            <w:vAlign w:val="center"/>
          </w:tcPr>
          <w:p>
            <w:pPr>
              <w:spacing w:after="0"/>
            </w:pPr>
            <w:r/>
            <w:r>
              <w:rPr>
                <w:rFonts w:ascii="Aptos" w:hAnsi="Aptos"/>
                <w:b w:val="0"/>
                <w:sz w:val="17"/>
              </w:rPr>
              <w:t>solubility</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However, F2SM8 and F2SM10 showed insufficient solubility in acetonitrile.</w:t>
            </w:r>
          </w:p>
        </w:tc>
      </w:tr>
      <w:tr>
        <w:tc>
          <w:tcPr>
            <w:tcW w:type="dxa" w:w="2570"/>
            <w:vAlign w:val="center"/>
          </w:tcPr>
          <w:p>
            <w:pPr>
              <w:spacing w:after="0"/>
            </w:pPr>
            <w:r/>
            <w:r>
              <w:rPr>
                <w:rFonts w:ascii="Aptos" w:hAnsi="Aptos"/>
                <w:b w:val="0"/>
                <w:sz w:val="17"/>
              </w:rPr>
              <w:t>시료 전처리</w:t>
            </w:r>
          </w:p>
        </w:tc>
        <w:tc>
          <w:tcPr>
            <w:tcW w:type="dxa" w:w="2570"/>
            <w:vAlign w:val="center"/>
          </w:tcPr>
          <w:p>
            <w:pPr>
              <w:spacing w:after="0"/>
            </w:pPr>
            <w:r/>
            <w:r>
              <w:rPr>
                <w:rFonts w:ascii="Aptos" w:hAnsi="Aptos"/>
                <w:b w:val="0"/>
                <w:sz w:val="17"/>
              </w:rPr>
              <w:t>sample preparation</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Further study is required to identify a suitable diluent and optimize the sample preparation conditions.</w:t>
            </w:r>
          </w:p>
        </w:tc>
      </w:tr>
      <w:tr>
        <w:tc>
          <w:tcPr>
            <w:tcW w:type="dxa" w:w="2570"/>
            <w:vAlign w:val="center"/>
          </w:tcPr>
          <w:p>
            <w:pPr>
              <w:spacing w:after="0"/>
            </w:pPr>
            <w:r/>
            <w:r>
              <w:rPr>
                <w:rFonts w:ascii="Aptos" w:hAnsi="Aptos"/>
                <w:b w:val="0"/>
                <w:sz w:val="17"/>
              </w:rPr>
              <w:t>컬럼</w:t>
            </w:r>
          </w:p>
        </w:tc>
        <w:tc>
          <w:tcPr>
            <w:tcW w:type="dxa" w:w="2570"/>
            <w:vAlign w:val="center"/>
          </w:tcPr>
          <w:p>
            <w:pPr>
              <w:spacing w:after="0"/>
            </w:pPr>
            <w:r/>
            <w:r>
              <w:rPr>
                <w:rFonts w:ascii="Aptos" w:hAnsi="Aptos"/>
                <w:b w:val="0"/>
                <w:sz w:val="17"/>
              </w:rPr>
              <w:t>column</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The method uses a Poroshell 120 EC-C18 column with a TFA water-acetonitrile gradient and UV detection at 214 nanometers.</w:t>
            </w:r>
          </w:p>
        </w:tc>
      </w:tr>
      <w:tr>
        <w:tc>
          <w:tcPr>
            <w:tcW w:type="dxa" w:w="2570"/>
            <w:vAlign w:val="center"/>
          </w:tcPr>
          <w:p>
            <w:pPr>
              <w:spacing w:after="0"/>
            </w:pPr>
            <w:r/>
            <w:r>
              <w:rPr>
                <w:rFonts w:ascii="Aptos" w:hAnsi="Aptos"/>
                <w:b w:val="0"/>
                <w:sz w:val="17"/>
              </w:rPr>
              <w:t>기울기 용리</w:t>
            </w:r>
          </w:p>
        </w:tc>
        <w:tc>
          <w:tcPr>
            <w:tcW w:type="dxa" w:w="2570"/>
            <w:vAlign w:val="center"/>
          </w:tcPr>
          <w:p>
            <w:pPr>
              <w:spacing w:after="0"/>
            </w:pPr>
            <w:r/>
            <w:r>
              <w:rPr>
                <w:rFonts w:ascii="Aptos" w:hAnsi="Aptos"/>
                <w:b w:val="0"/>
                <w:sz w:val="17"/>
              </w:rPr>
              <w:t>gradient</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The method uses a Poroshell 120 EC-C18 column with a TFA water-acetonitrile gradient and UV detection at 214 nanometers.</w:t>
            </w:r>
          </w:p>
        </w:tc>
      </w:tr>
      <w:tr>
        <w:tc>
          <w:tcPr>
            <w:tcW w:type="dxa" w:w="2570"/>
            <w:vAlign w:val="center"/>
          </w:tcPr>
          <w:p>
            <w:pPr>
              <w:spacing w:after="0"/>
            </w:pPr>
            <w:r/>
            <w:r>
              <w:rPr>
                <w:rFonts w:ascii="Aptos" w:hAnsi="Aptos"/>
                <w:b w:val="0"/>
                <w:sz w:val="17"/>
              </w:rPr>
              <w:t>active ester</w:t>
            </w:r>
          </w:p>
        </w:tc>
        <w:tc>
          <w:tcPr>
            <w:tcW w:type="dxa" w:w="2570"/>
            <w:vAlign w:val="center"/>
          </w:tcPr>
          <w:p>
            <w:pPr>
              <w:spacing w:after="0"/>
            </w:pPr>
            <w:r/>
            <w:r>
              <w:rPr>
                <w:rFonts w:ascii="Aptos" w:hAnsi="Aptos"/>
                <w:b w:val="0"/>
                <w:sz w:val="17"/>
              </w:rPr>
              <w:t>active ester</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The original method caused the active ester to convert back to F2SM4 during analysis.</w:t>
            </w:r>
          </w:p>
        </w:tc>
      </w:tr>
      <w:tr>
        <w:tc>
          <w:tcPr>
            <w:tcW w:type="dxa" w:w="2570"/>
            <w:vAlign w:val="center"/>
          </w:tcPr>
          <w:p>
            <w:pPr>
              <w:spacing w:after="0"/>
            </w:pPr>
            <w:r/>
            <w:r>
              <w:rPr>
                <w:rFonts w:ascii="Aptos" w:hAnsi="Aptos"/>
                <w:b w:val="0"/>
                <w:sz w:val="17"/>
              </w:rPr>
              <w:t>분석 인위물</w:t>
            </w:r>
          </w:p>
        </w:tc>
        <w:tc>
          <w:tcPr>
            <w:tcW w:type="dxa" w:w="2570"/>
            <w:vAlign w:val="center"/>
          </w:tcPr>
          <w:p>
            <w:pPr>
              <w:spacing w:after="0"/>
            </w:pPr>
            <w:r/>
            <w:r>
              <w:rPr>
                <w:rFonts w:ascii="Aptos" w:hAnsi="Aptos"/>
                <w:b w:val="0"/>
                <w:sz w:val="17"/>
              </w:rPr>
              <w:t>analytical artifact</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Analytical Method 2 was implemented to avoid this analytical artifact.</w:t>
            </w:r>
          </w:p>
        </w:tc>
      </w:tr>
      <w:tr>
        <w:tc>
          <w:tcPr>
            <w:tcW w:type="dxa" w:w="2570"/>
            <w:vAlign w:val="center"/>
          </w:tcPr>
          <w:p>
            <w:pPr>
              <w:spacing w:after="0"/>
            </w:pPr>
            <w:r/>
            <w:r>
              <w:rPr>
                <w:rFonts w:ascii="Aptos" w:hAnsi="Aptos"/>
                <w:b w:val="0"/>
                <w:sz w:val="17"/>
              </w:rPr>
              <w:t>견고한 시험법</w:t>
            </w:r>
          </w:p>
        </w:tc>
        <w:tc>
          <w:tcPr>
            <w:tcW w:type="dxa" w:w="2570"/>
            <w:vAlign w:val="center"/>
          </w:tcPr>
          <w:p>
            <w:pPr>
              <w:spacing w:after="0"/>
            </w:pPr>
            <w:r/>
            <w:r>
              <w:rPr>
                <w:rFonts w:ascii="Aptos" w:hAnsi="Aptos"/>
                <w:b w:val="0"/>
                <w:sz w:val="17"/>
              </w:rPr>
              <w:t>robust method</w:t>
            </w:r>
          </w:p>
        </w:tc>
        <w:tc>
          <w:tcPr>
            <w:tcW w:type="dxa" w:w="2570"/>
            <w:vAlign w:val="center"/>
          </w:tcPr>
          <w:p>
            <w:pPr>
              <w:spacing w:after="0"/>
            </w:pPr>
            <w:r/>
            <w:r>
              <w:rPr>
                <w:rFonts w:ascii="Aptos" w:hAnsi="Aptos"/>
                <w:b w:val="0"/>
                <w:sz w:val="17"/>
              </w:rPr>
              <w:t>Noun / term</w:t>
            </w:r>
          </w:p>
        </w:tc>
        <w:tc>
          <w:tcPr>
            <w:tcW w:type="dxa" w:w="2570"/>
            <w:vAlign w:val="center"/>
          </w:tcPr>
          <w:p>
            <w:pPr>
              <w:spacing w:after="0"/>
            </w:pPr>
            <w:r/>
            <w:r>
              <w:rPr>
                <w:rFonts w:ascii="Aptos" w:hAnsi="Aptos"/>
                <w:b w:val="0"/>
                <w:sz w:val="15"/>
              </w:rPr>
              <w:t>We will continue method optimization to improve retention and establish a robust method.</w:t>
            </w:r>
          </w:p>
        </w:tc>
      </w:tr>
    </w:tbl>
    <w:p>
      <w:pPr>
        <w:pStyle w:val="Heading1"/>
      </w:pPr>
      <w:r>
        <w:t>Useful Sentence Frames</w:t>
      </w:r>
    </w:p>
    <w:tbl>
      <w:tblPr>
        <w:tblStyle w:val="TableGrid"/>
        <w:tblW w:type="auto" w:w="0"/>
        <w:jc w:val="center"/>
        <w:tblLook w:firstColumn="1" w:firstRow="1" w:lastColumn="0" w:lastRow="0" w:noHBand="0" w:noVBand="1" w:val="04A0"/>
      </w:tblPr>
      <w:tblGrid>
        <w:gridCol w:w="5141"/>
        <w:gridCol w:w="5141"/>
      </w:tblGrid>
      <w:tr>
        <w:tc>
          <w:tcPr>
            <w:tcW w:type="dxa" w:w="5141"/>
            <w:vAlign w:val="center"/>
            <w:shd w:fill="D9EAF7"/>
          </w:tcPr>
          <w:p>
            <w:pPr>
              <w:spacing w:after="0"/>
            </w:pPr>
            <w:r/>
            <w:r>
              <w:rPr>
                <w:rFonts w:ascii="Aptos" w:hAnsi="Aptos"/>
                <w:b/>
                <w:sz w:val="17"/>
              </w:rPr>
              <w:t>Korean cue</w:t>
            </w:r>
          </w:p>
        </w:tc>
        <w:tc>
          <w:tcPr>
            <w:tcW w:type="dxa" w:w="5141"/>
            <w:vAlign w:val="center"/>
            <w:shd w:fill="D9EAF7"/>
          </w:tcPr>
          <w:p>
            <w:pPr>
              <w:spacing w:after="0"/>
            </w:pPr>
            <w:r/>
            <w:r>
              <w:rPr>
                <w:rFonts w:ascii="Aptos" w:hAnsi="Aptos"/>
                <w:b/>
                <w:sz w:val="17"/>
              </w:rPr>
              <w:t>English frame</w:t>
            </w:r>
          </w:p>
        </w:tc>
      </w:tr>
      <w:tr>
        <w:tc>
          <w:tcPr>
            <w:tcW w:type="dxa" w:w="5141"/>
            <w:vAlign w:val="center"/>
          </w:tcPr>
          <w:p>
            <w:pPr>
              <w:spacing w:after="0"/>
            </w:pPr>
            <w:r/>
            <w:r>
              <w:rPr>
                <w:rFonts w:ascii="Aptos" w:hAnsi="Aptos"/>
                <w:b w:val="0"/>
                <w:sz w:val="17"/>
              </w:rPr>
              <w:t>~의 현황을 요약하다</w:t>
            </w:r>
          </w:p>
        </w:tc>
        <w:tc>
          <w:tcPr>
            <w:tcW w:type="dxa" w:w="5141"/>
            <w:vAlign w:val="center"/>
          </w:tcPr>
          <w:p>
            <w:pPr>
              <w:spacing w:after="0"/>
            </w:pPr>
            <w:r/>
            <w:r>
              <w:rPr>
                <w:rFonts w:ascii="Aptos" w:hAnsi="Aptos"/>
                <w:b w:val="0"/>
                <w:sz w:val="17"/>
              </w:rPr>
              <w:t>This table summarizes the status of ~.</w:t>
            </w:r>
          </w:p>
        </w:tc>
      </w:tr>
      <w:tr>
        <w:tc>
          <w:tcPr>
            <w:tcW w:type="dxa" w:w="5141"/>
            <w:vAlign w:val="center"/>
          </w:tcPr>
          <w:p>
            <w:pPr>
              <w:spacing w:after="0"/>
            </w:pPr>
            <w:r/>
            <w:r>
              <w:rPr>
                <w:rFonts w:ascii="Aptos" w:hAnsi="Aptos"/>
                <w:b w:val="0"/>
                <w:sz w:val="17"/>
              </w:rPr>
              <w:t>~을 개선하기 위해 최적화가 필요하다</w:t>
            </w:r>
          </w:p>
        </w:tc>
        <w:tc>
          <w:tcPr>
            <w:tcW w:type="dxa" w:w="5141"/>
            <w:vAlign w:val="center"/>
          </w:tcPr>
          <w:p>
            <w:pPr>
              <w:spacing w:after="0"/>
            </w:pPr>
            <w:r/>
            <w:r>
              <w:rPr>
                <w:rFonts w:ascii="Aptos" w:hAnsi="Aptos"/>
                <w:b w:val="0"/>
                <w:sz w:val="17"/>
              </w:rPr>
              <w:t>Further method optimization is required to improve ~.</w:t>
            </w:r>
          </w:p>
        </w:tc>
      </w:tr>
      <w:tr>
        <w:tc>
          <w:tcPr>
            <w:tcW w:type="dxa" w:w="5141"/>
            <w:vAlign w:val="center"/>
          </w:tcPr>
          <w:p>
            <w:pPr>
              <w:spacing w:after="0"/>
            </w:pPr>
            <w:r/>
            <w:r>
              <w:rPr>
                <w:rFonts w:ascii="Aptos" w:hAnsi="Aptos"/>
                <w:b w:val="0"/>
                <w:sz w:val="17"/>
              </w:rPr>
              <w:t>~ 때문에 별도 분석되었다</w:t>
            </w:r>
          </w:p>
        </w:tc>
        <w:tc>
          <w:tcPr>
            <w:tcW w:type="dxa" w:w="5141"/>
            <w:vAlign w:val="center"/>
          </w:tcPr>
          <w:p>
            <w:pPr>
              <w:spacing w:after="0"/>
            </w:pPr>
            <w:r/>
            <w:r>
              <w:rPr>
                <w:rFonts w:ascii="Aptos" w:hAnsi="Aptos"/>
                <w:b w:val="0"/>
                <w:sz w:val="17"/>
              </w:rPr>
              <w:t>~ was analyzed separately using ~, as specified in ~.</w:t>
            </w:r>
          </w:p>
        </w:tc>
      </w:tr>
      <w:tr>
        <w:tc>
          <w:tcPr>
            <w:tcW w:type="dxa" w:w="5141"/>
            <w:vAlign w:val="center"/>
          </w:tcPr>
          <w:p>
            <w:pPr>
              <w:spacing w:after="0"/>
            </w:pPr>
            <w:r/>
            <w:r>
              <w:rPr>
                <w:rFonts w:ascii="Aptos" w:hAnsi="Aptos"/>
                <w:b w:val="0"/>
                <w:sz w:val="17"/>
              </w:rPr>
              <w:t>~은 현재 진행 중이다</w:t>
            </w:r>
          </w:p>
        </w:tc>
        <w:tc>
          <w:tcPr>
            <w:tcW w:type="dxa" w:w="5141"/>
            <w:vAlign w:val="center"/>
          </w:tcPr>
          <w:p>
            <w:pPr>
              <w:spacing w:after="0"/>
            </w:pPr>
            <w:r/>
            <w:r>
              <w:rPr>
                <w:rFonts w:ascii="Aptos" w:hAnsi="Aptos"/>
                <w:b w:val="0"/>
                <w:sz w:val="17"/>
              </w:rPr>
              <w:t>~ is ongoing because ~.</w:t>
            </w:r>
          </w:p>
        </w:tc>
      </w:tr>
      <w:tr>
        <w:tc>
          <w:tcPr>
            <w:tcW w:type="dxa" w:w="5141"/>
            <w:vAlign w:val="center"/>
          </w:tcPr>
          <w:p>
            <w:pPr>
              <w:spacing w:after="0"/>
            </w:pPr>
            <w:r/>
            <w:r>
              <w:rPr>
                <w:rFonts w:ascii="Aptos" w:hAnsi="Aptos"/>
                <w:b w:val="0"/>
                <w:sz w:val="17"/>
              </w:rPr>
              <w:t>~을 위해 추가 연구가 필요하다</w:t>
            </w:r>
          </w:p>
        </w:tc>
        <w:tc>
          <w:tcPr>
            <w:tcW w:type="dxa" w:w="5141"/>
            <w:vAlign w:val="center"/>
          </w:tcPr>
          <w:p>
            <w:pPr>
              <w:spacing w:after="0"/>
            </w:pPr>
            <w:r/>
            <w:r>
              <w:rPr>
                <w:rFonts w:ascii="Aptos" w:hAnsi="Aptos"/>
                <w:b w:val="0"/>
                <w:sz w:val="17"/>
              </w:rPr>
              <w:t>Further study is required to identify ~ and optimize ~.</w:t>
            </w:r>
          </w:p>
        </w:tc>
      </w:tr>
      <w:tr>
        <w:tc>
          <w:tcPr>
            <w:tcW w:type="dxa" w:w="5141"/>
            <w:vAlign w:val="center"/>
          </w:tcPr>
          <w:p>
            <w:pPr>
              <w:spacing w:after="0"/>
            </w:pPr>
            <w:r/>
            <w:r>
              <w:rPr>
                <w:rFonts w:ascii="Aptos" w:hAnsi="Aptos"/>
                <w:b w:val="0"/>
                <w:sz w:val="17"/>
              </w:rPr>
              <w:t>~은 ~와 비교할 만하다</w:t>
            </w:r>
          </w:p>
        </w:tc>
        <w:tc>
          <w:tcPr>
            <w:tcW w:type="dxa" w:w="5141"/>
            <w:vAlign w:val="center"/>
          </w:tcPr>
          <w:p>
            <w:pPr>
              <w:spacing w:after="0"/>
            </w:pPr>
            <w:r/>
            <w:r>
              <w:rPr>
                <w:rFonts w:ascii="Aptos" w:hAnsi="Aptos"/>
                <w:b w:val="0"/>
                <w:sz w:val="17"/>
              </w:rPr>
              <w:t>~ is comparable to ~.</w:t>
            </w:r>
          </w:p>
        </w:tc>
      </w:tr>
    </w:tbl>
    <w:sectPr w:rsidR="00FC693F" w:rsidRPr="0006063C" w:rsidSect="00034616">
      <w:footerReference w:type="default" r:id="rId9"/>
      <w:pgSz w:w="12240" w:h="15840"/>
      <w:pgMar w:top="936"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LY4086940 F2 | Final Analytical Presentation Script and Vocabulary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